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AC58" w14:textId="55013982" w:rsidR="00C84097" w:rsidRPr="00427F1F" w:rsidRDefault="004126F8" w:rsidP="00C84097">
      <w:pPr>
        <w:pStyle w:val="Title"/>
        <w:tabs>
          <w:tab w:val="left" w:pos="3402"/>
        </w:tabs>
        <w:ind w:left="-142"/>
        <w:rPr>
          <w:rFonts w:ascii="Arial" w:hAnsi="Arial" w:cs="Arial"/>
          <w:b/>
          <w:color w:val="0070C0"/>
          <w:sz w:val="32"/>
          <w:szCs w:val="32"/>
        </w:rPr>
      </w:pPr>
      <w:r>
        <w:rPr>
          <w:rFonts w:ascii="Arial" w:hAnsi="Arial" w:cs="Arial"/>
          <w:b/>
          <w:color w:val="1D71B8"/>
          <w:sz w:val="32"/>
          <w:szCs w:val="32"/>
        </w:rPr>
        <w:br/>
      </w:r>
      <w:r w:rsidR="00C84097">
        <w:rPr>
          <w:rFonts w:ascii="Arial" w:hAnsi="Arial" w:cs="Arial"/>
          <w:b/>
          <w:color w:val="1D71B8"/>
          <w:sz w:val="32"/>
          <w:szCs w:val="32"/>
        </w:rPr>
        <w:t xml:space="preserve">  </w:t>
      </w:r>
      <w:r w:rsidR="00C84097" w:rsidRPr="00427F1F">
        <w:rPr>
          <w:rFonts w:ascii="Arial" w:hAnsi="Arial" w:cs="Arial"/>
          <w:b/>
          <w:color w:val="0070C0"/>
          <w:sz w:val="32"/>
          <w:szCs w:val="32"/>
        </w:rPr>
        <w:t xml:space="preserve">Monthly View as </w:t>
      </w:r>
      <w:proofErr w:type="gramStart"/>
      <w:r w:rsidR="00C84097" w:rsidRPr="00427F1F">
        <w:rPr>
          <w:rFonts w:ascii="Arial" w:hAnsi="Arial" w:cs="Arial"/>
          <w:b/>
          <w:color w:val="0070C0"/>
          <w:sz w:val="32"/>
          <w:szCs w:val="32"/>
        </w:rPr>
        <w:t>at</w:t>
      </w:r>
      <w:proofErr w:type="gramEnd"/>
      <w:r w:rsidR="00C84097">
        <w:rPr>
          <w:rFonts w:ascii="Arial" w:hAnsi="Arial" w:cs="Arial"/>
          <w:b/>
          <w:color w:val="0070C0"/>
          <w:sz w:val="32"/>
          <w:szCs w:val="32"/>
        </w:rPr>
        <w:t xml:space="preserve"> </w:t>
      </w:r>
      <w:r w:rsidR="00C84097">
        <w:rPr>
          <w:rFonts w:ascii="Arial" w:hAnsi="Arial" w:cs="Arial"/>
          <w:b/>
          <w:color w:val="0070C0"/>
          <w:sz w:val="32"/>
          <w:szCs w:val="32"/>
        </w:rPr>
        <w:t>28 February</w:t>
      </w:r>
      <w:r w:rsidR="00C84097" w:rsidRPr="00427F1F">
        <w:rPr>
          <w:rFonts w:ascii="Arial" w:hAnsi="Arial" w:cs="Arial"/>
          <w:b/>
          <w:color w:val="0070C0"/>
          <w:sz w:val="32"/>
          <w:szCs w:val="32"/>
        </w:rPr>
        <w:t xml:space="preserve"> 202</w:t>
      </w:r>
      <w:r w:rsidR="00C84097">
        <w:rPr>
          <w:rFonts w:ascii="Arial" w:hAnsi="Arial" w:cs="Arial"/>
          <w:b/>
          <w:color w:val="0070C0"/>
          <w:sz w:val="32"/>
          <w:szCs w:val="32"/>
        </w:rPr>
        <w:t>3</w:t>
      </w:r>
    </w:p>
    <w:p w14:paraId="75A7BFAC" w14:textId="77777777" w:rsidR="00C84097" w:rsidRDefault="00C84097" w:rsidP="008D1C34">
      <w:pPr>
        <w:jc w:val="both"/>
        <w:rPr>
          <w:rFonts w:ascii="Arial" w:hAnsi="Arial" w:cs="Arial"/>
          <w:color w:val="auto"/>
          <w:sz w:val="18"/>
          <w:szCs w:val="18"/>
          <w:lang w:val="en-US"/>
        </w:rPr>
      </w:pPr>
    </w:p>
    <w:p w14:paraId="67ADD3E2" w14:textId="77777777" w:rsidR="00C84097" w:rsidRPr="00C84097" w:rsidRDefault="00C84097" w:rsidP="00C84097">
      <w:pPr>
        <w:ind w:left="-142" w:firstLine="142"/>
        <w:rPr>
          <w:rFonts w:ascii="Arial" w:hAnsi="Arial" w:cs="Arial"/>
          <w:b/>
          <w:color w:val="0070C0"/>
          <w:sz w:val="20"/>
          <w:szCs w:val="20"/>
        </w:rPr>
      </w:pPr>
      <w:r w:rsidRPr="00C84097">
        <w:rPr>
          <w:rFonts w:ascii="Arial" w:hAnsi="Arial" w:cs="Arial"/>
          <w:b/>
          <w:color w:val="0070C0"/>
          <w:sz w:val="20"/>
          <w:szCs w:val="20"/>
        </w:rPr>
        <w:t>Overview</w:t>
      </w:r>
    </w:p>
    <w:p w14:paraId="4B3869B6" w14:textId="6D772B5B" w:rsidR="006323A7" w:rsidRDefault="006323A7" w:rsidP="008D1C34">
      <w:pPr>
        <w:jc w:val="both"/>
        <w:rPr>
          <w:rFonts w:ascii="Arial" w:hAnsi="Arial" w:cs="Arial"/>
          <w:color w:val="auto"/>
          <w:sz w:val="18"/>
          <w:szCs w:val="18"/>
          <w:lang w:val="en-US"/>
        </w:rPr>
      </w:pPr>
      <w:r w:rsidRPr="006323A7">
        <w:rPr>
          <w:rFonts w:ascii="Arial" w:hAnsi="Arial" w:cs="Arial"/>
          <w:color w:val="auto"/>
          <w:sz w:val="18"/>
          <w:szCs w:val="18"/>
          <w:lang w:val="en-US"/>
        </w:rPr>
        <w:t>The key theme for February was positive economic data. Any other time that would be good for markets but as each central bank around the world</w:t>
      </w:r>
      <w:r>
        <w:rPr>
          <w:rFonts w:ascii="Arial" w:hAnsi="Arial" w:cs="Arial"/>
          <w:color w:val="auto"/>
          <w:sz w:val="18"/>
          <w:szCs w:val="18"/>
          <w:lang w:val="en-US"/>
        </w:rPr>
        <w:t xml:space="preserve"> </w:t>
      </w:r>
      <w:r w:rsidRPr="006323A7">
        <w:rPr>
          <w:rFonts w:ascii="Arial" w:hAnsi="Arial" w:cs="Arial"/>
          <w:color w:val="auto"/>
          <w:sz w:val="18"/>
          <w:szCs w:val="18"/>
          <w:lang w:val="en-US"/>
        </w:rPr>
        <w:t>grapples with inflation, data showing a slowing economy is what each is looking for.</w:t>
      </w:r>
    </w:p>
    <w:p w14:paraId="4FF555CE" w14:textId="41AE404E" w:rsidR="006323A7" w:rsidRDefault="006323A7" w:rsidP="008D1C34">
      <w:pPr>
        <w:jc w:val="both"/>
        <w:rPr>
          <w:rFonts w:ascii="Arial" w:hAnsi="Arial" w:cs="Arial"/>
          <w:color w:val="auto"/>
          <w:sz w:val="18"/>
          <w:szCs w:val="18"/>
          <w:lang w:val="en-US"/>
        </w:rPr>
      </w:pPr>
      <w:r w:rsidRPr="006323A7">
        <w:rPr>
          <w:rFonts w:ascii="Arial" w:hAnsi="Arial" w:cs="Arial"/>
          <w:color w:val="auto"/>
          <w:sz w:val="18"/>
          <w:szCs w:val="18"/>
          <w:lang w:val="en-US"/>
        </w:rPr>
        <w:t>In January share market investors jumped the gun in thinking that the US Federal Reserve (the Fed) would pivot from interest rate increases to</w:t>
      </w:r>
      <w:r>
        <w:rPr>
          <w:rFonts w:ascii="Arial" w:hAnsi="Arial" w:cs="Arial"/>
          <w:color w:val="auto"/>
          <w:sz w:val="18"/>
          <w:szCs w:val="18"/>
          <w:lang w:val="en-US"/>
        </w:rPr>
        <w:t xml:space="preserve"> </w:t>
      </w:r>
      <w:r w:rsidRPr="006323A7">
        <w:rPr>
          <w:rFonts w:ascii="Arial" w:hAnsi="Arial" w:cs="Arial"/>
          <w:color w:val="auto"/>
          <w:sz w:val="18"/>
          <w:szCs w:val="18"/>
          <w:lang w:val="en-US"/>
        </w:rPr>
        <w:t>talk of pausing future interest rate increases or even cutting later in the year or 2024. In February the Fed increased interest rates by 0.25% and</w:t>
      </w:r>
      <w:r>
        <w:rPr>
          <w:rFonts w:ascii="Arial" w:hAnsi="Arial" w:cs="Arial"/>
          <w:color w:val="auto"/>
          <w:sz w:val="18"/>
          <w:szCs w:val="18"/>
          <w:lang w:val="en-US"/>
        </w:rPr>
        <w:t xml:space="preserve"> </w:t>
      </w:r>
      <w:r w:rsidRPr="006323A7">
        <w:rPr>
          <w:rFonts w:ascii="Arial" w:hAnsi="Arial" w:cs="Arial"/>
          <w:color w:val="auto"/>
          <w:sz w:val="18"/>
          <w:szCs w:val="18"/>
          <w:lang w:val="en-US"/>
        </w:rPr>
        <w:t>guided that there would need to be “ongoing increases”. The Bank of England (BOE) increased rates 0.50% but guided that future rate rises were</w:t>
      </w:r>
      <w:r>
        <w:rPr>
          <w:rFonts w:ascii="Arial" w:hAnsi="Arial" w:cs="Arial"/>
          <w:color w:val="auto"/>
          <w:sz w:val="18"/>
          <w:szCs w:val="18"/>
          <w:lang w:val="en-US"/>
        </w:rPr>
        <w:t xml:space="preserve"> </w:t>
      </w:r>
      <w:r w:rsidRPr="006323A7">
        <w:rPr>
          <w:rFonts w:ascii="Arial" w:hAnsi="Arial" w:cs="Arial"/>
          <w:color w:val="auto"/>
          <w:sz w:val="18"/>
          <w:szCs w:val="18"/>
          <w:lang w:val="en-US"/>
        </w:rPr>
        <w:t>conditional on economic data.</w:t>
      </w:r>
    </w:p>
    <w:p w14:paraId="5D329046" w14:textId="37814F9C" w:rsidR="006323A7" w:rsidRPr="006323A7" w:rsidRDefault="006323A7" w:rsidP="008D1C34">
      <w:pPr>
        <w:jc w:val="both"/>
        <w:rPr>
          <w:rFonts w:ascii="Arial" w:hAnsi="Arial" w:cs="Arial"/>
          <w:color w:val="auto"/>
          <w:sz w:val="18"/>
          <w:szCs w:val="18"/>
          <w:lang w:val="en-US"/>
        </w:rPr>
      </w:pPr>
      <w:r w:rsidRPr="006323A7">
        <w:rPr>
          <w:rFonts w:ascii="Arial" w:hAnsi="Arial" w:cs="Arial"/>
          <w:color w:val="auto"/>
          <w:sz w:val="18"/>
          <w:szCs w:val="18"/>
          <w:lang w:val="en-US"/>
        </w:rPr>
        <w:t>Later in February any hope for the “pivot” disappeared as a series of stronger US economic data was released. The market was caught off guard and</w:t>
      </w:r>
      <w:r>
        <w:rPr>
          <w:rFonts w:ascii="Arial" w:hAnsi="Arial" w:cs="Arial"/>
          <w:color w:val="auto"/>
          <w:sz w:val="18"/>
          <w:szCs w:val="18"/>
          <w:lang w:val="en-US"/>
        </w:rPr>
        <w:t xml:space="preserve"> </w:t>
      </w:r>
      <w:r w:rsidRPr="006323A7">
        <w:rPr>
          <w:rFonts w:ascii="Arial" w:hAnsi="Arial" w:cs="Arial"/>
          <w:color w:val="auto"/>
          <w:sz w:val="18"/>
          <w:szCs w:val="18"/>
          <w:lang w:val="en-US"/>
        </w:rPr>
        <w:t>we saw share markets weaken into the end of the month. Returns year to date are still positive but it took some wind out of the sails of a fully</w:t>
      </w:r>
      <w:r>
        <w:rPr>
          <w:rFonts w:ascii="Arial" w:hAnsi="Arial" w:cs="Arial"/>
          <w:color w:val="auto"/>
          <w:sz w:val="18"/>
          <w:szCs w:val="18"/>
          <w:lang w:val="en-US"/>
        </w:rPr>
        <w:t>-</w:t>
      </w:r>
      <w:r w:rsidRPr="006323A7">
        <w:rPr>
          <w:rFonts w:ascii="Arial" w:hAnsi="Arial" w:cs="Arial"/>
          <w:color w:val="auto"/>
          <w:sz w:val="18"/>
          <w:szCs w:val="18"/>
          <w:lang w:val="en-US"/>
        </w:rPr>
        <w:t>fledged share market recovery.</w:t>
      </w:r>
    </w:p>
    <w:p w14:paraId="59EC3A55" w14:textId="5E800C21" w:rsidR="006323A7" w:rsidRPr="006323A7" w:rsidRDefault="006323A7" w:rsidP="008D1C34">
      <w:pPr>
        <w:jc w:val="both"/>
        <w:rPr>
          <w:rFonts w:ascii="Arial" w:hAnsi="Arial" w:cs="Arial"/>
          <w:color w:val="auto"/>
          <w:sz w:val="18"/>
          <w:szCs w:val="18"/>
          <w:lang w:val="en-US"/>
        </w:rPr>
      </w:pPr>
      <w:r w:rsidRPr="006323A7">
        <w:rPr>
          <w:rFonts w:ascii="Arial" w:hAnsi="Arial" w:cs="Arial"/>
          <w:color w:val="auto"/>
          <w:sz w:val="18"/>
          <w:szCs w:val="18"/>
          <w:lang w:val="en-US"/>
        </w:rPr>
        <w:t>On the positive side, these interest rate increases mean investors are now being rewarded for holding relatively low risk bond investments, with</w:t>
      </w:r>
      <w:r>
        <w:rPr>
          <w:rFonts w:ascii="Arial" w:hAnsi="Arial" w:cs="Arial"/>
          <w:color w:val="auto"/>
          <w:sz w:val="18"/>
          <w:szCs w:val="18"/>
          <w:lang w:val="en-US"/>
        </w:rPr>
        <w:t xml:space="preserve"> </w:t>
      </w:r>
      <w:r w:rsidRPr="006323A7">
        <w:rPr>
          <w:rFonts w:ascii="Arial" w:hAnsi="Arial" w:cs="Arial"/>
          <w:color w:val="auto"/>
          <w:sz w:val="18"/>
          <w:szCs w:val="18"/>
          <w:lang w:val="en-US"/>
        </w:rPr>
        <w:t>the additional possibility of stronger share market returns once we see inflation levels falling.</w:t>
      </w:r>
    </w:p>
    <w:p w14:paraId="13492C82" w14:textId="77777777" w:rsidR="006323A7" w:rsidRDefault="006323A7" w:rsidP="008D1C34">
      <w:pPr>
        <w:jc w:val="both"/>
        <w:rPr>
          <w:rFonts w:ascii="Arial" w:hAnsi="Arial" w:cs="Arial"/>
          <w:color w:val="auto"/>
          <w:sz w:val="18"/>
          <w:szCs w:val="18"/>
          <w:lang w:val="en-US"/>
        </w:rPr>
      </w:pPr>
      <w:r w:rsidRPr="006323A7">
        <w:rPr>
          <w:rFonts w:ascii="Arial" w:hAnsi="Arial" w:cs="Arial"/>
          <w:color w:val="auto"/>
          <w:sz w:val="18"/>
          <w:szCs w:val="18"/>
          <w:lang w:val="en-US"/>
        </w:rPr>
        <w:t>Share markets will recover and typically the recovery will occur before the economic data shows this improvement. The chart below provides</w:t>
      </w:r>
      <w:r>
        <w:rPr>
          <w:rFonts w:ascii="Arial" w:hAnsi="Arial" w:cs="Arial"/>
          <w:color w:val="auto"/>
          <w:sz w:val="18"/>
          <w:szCs w:val="18"/>
          <w:lang w:val="en-US"/>
        </w:rPr>
        <w:t xml:space="preserve"> </w:t>
      </w:r>
      <w:r w:rsidRPr="006323A7">
        <w:rPr>
          <w:rFonts w:ascii="Arial" w:hAnsi="Arial" w:cs="Arial"/>
          <w:color w:val="auto"/>
          <w:sz w:val="18"/>
          <w:szCs w:val="18"/>
          <w:lang w:val="en-US"/>
        </w:rPr>
        <w:t>a good illustration of how industrial production, a gauge of demand, continues to weaken while the share market is rising, before both the</w:t>
      </w:r>
      <w:r>
        <w:rPr>
          <w:rFonts w:ascii="Arial" w:hAnsi="Arial" w:cs="Arial"/>
          <w:color w:val="auto"/>
          <w:sz w:val="18"/>
          <w:szCs w:val="18"/>
          <w:lang w:val="en-US"/>
        </w:rPr>
        <w:t xml:space="preserve"> </w:t>
      </w:r>
      <w:r w:rsidRPr="006323A7">
        <w:rPr>
          <w:rFonts w:ascii="Arial" w:hAnsi="Arial" w:cs="Arial"/>
          <w:color w:val="auto"/>
          <w:sz w:val="18"/>
          <w:szCs w:val="18"/>
          <w:lang w:val="en-US"/>
        </w:rPr>
        <w:t>production and share market index show the economy growing.</w:t>
      </w:r>
    </w:p>
    <w:p w14:paraId="1F51D3AA" w14:textId="77777777" w:rsidR="006323A7" w:rsidRDefault="006323A7" w:rsidP="006323A7">
      <w:pPr>
        <w:rPr>
          <w:rFonts w:ascii="Arial" w:hAnsi="Arial" w:cs="Arial"/>
          <w:color w:val="auto"/>
          <w:sz w:val="18"/>
          <w:szCs w:val="18"/>
          <w:lang w:val="en-US"/>
        </w:rPr>
      </w:pPr>
    </w:p>
    <w:p w14:paraId="144DDDEE" w14:textId="68FD937B" w:rsidR="006323A7" w:rsidRDefault="006323A7" w:rsidP="006323A7">
      <w:pPr>
        <w:rPr>
          <w:rFonts w:ascii="Arial" w:hAnsi="Arial" w:cs="Arial"/>
          <w:color w:val="auto"/>
          <w:sz w:val="18"/>
          <w:szCs w:val="18"/>
          <w:lang w:val="en-US"/>
        </w:rPr>
      </w:pPr>
      <w:r>
        <w:rPr>
          <w:noProof/>
        </w:rPr>
        <w:drawing>
          <wp:inline distT="0" distB="0" distL="0" distR="0" wp14:anchorId="630FC9E5" wp14:editId="4F6AA9E8">
            <wp:extent cx="6479540" cy="3539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9540" cy="3539490"/>
                    </a:xfrm>
                    <a:prstGeom prst="rect">
                      <a:avLst/>
                    </a:prstGeom>
                  </pic:spPr>
                </pic:pic>
              </a:graphicData>
            </a:graphic>
          </wp:inline>
        </w:drawing>
      </w:r>
    </w:p>
    <w:p w14:paraId="3D2A6FE0" w14:textId="77777777" w:rsidR="006323A7" w:rsidRDefault="006323A7" w:rsidP="006323A7">
      <w:pPr>
        <w:rPr>
          <w:rFonts w:ascii="Arial" w:hAnsi="Arial" w:cs="Arial"/>
          <w:color w:val="auto"/>
          <w:sz w:val="18"/>
          <w:szCs w:val="18"/>
        </w:rPr>
      </w:pPr>
    </w:p>
    <w:p w14:paraId="6E4D0A1E" w14:textId="77777777" w:rsidR="006323A7" w:rsidRDefault="006323A7" w:rsidP="006323A7">
      <w:pPr>
        <w:rPr>
          <w:rFonts w:ascii="Arial" w:hAnsi="Arial" w:cs="Arial"/>
          <w:color w:val="auto"/>
          <w:sz w:val="18"/>
          <w:szCs w:val="18"/>
        </w:rPr>
      </w:pPr>
      <w:r w:rsidRPr="006323A7">
        <w:rPr>
          <w:rFonts w:ascii="Arial" w:hAnsi="Arial" w:cs="Arial"/>
          <w:color w:val="auto"/>
          <w:sz w:val="18"/>
          <w:szCs w:val="18"/>
        </w:rPr>
        <w:t>Historically, recessions have on average been for 10 months while expansions have lasted for 69 months. Growth and earnings are larger for longer,</w:t>
      </w:r>
      <w:r>
        <w:rPr>
          <w:rFonts w:ascii="Arial" w:hAnsi="Arial" w:cs="Arial"/>
          <w:color w:val="auto"/>
          <w:sz w:val="18"/>
          <w:szCs w:val="18"/>
        </w:rPr>
        <w:t xml:space="preserve"> </w:t>
      </w:r>
      <w:r w:rsidRPr="006323A7">
        <w:rPr>
          <w:rFonts w:ascii="Arial" w:hAnsi="Arial" w:cs="Arial"/>
          <w:color w:val="auto"/>
          <w:sz w:val="18"/>
          <w:szCs w:val="18"/>
        </w:rPr>
        <w:t>translating into the attractive total returns in a bull vs. bear market.</w:t>
      </w:r>
    </w:p>
    <w:p w14:paraId="4A0E0107" w14:textId="77777777" w:rsidR="00D44CED" w:rsidRDefault="00D44CED" w:rsidP="006323A7">
      <w:pPr>
        <w:rPr>
          <w:rFonts w:ascii="Arial" w:hAnsi="Arial" w:cs="Arial"/>
          <w:color w:val="000000" w:themeColor="text1"/>
          <w:sz w:val="18"/>
          <w:szCs w:val="18"/>
        </w:rPr>
      </w:pPr>
    </w:p>
    <w:p w14:paraId="12F5A45A" w14:textId="6E0CA298" w:rsidR="00D44CED" w:rsidRPr="00C84097" w:rsidRDefault="00D44CED" w:rsidP="00D44CED">
      <w:pPr>
        <w:ind w:left="-142" w:firstLine="142"/>
        <w:rPr>
          <w:rFonts w:ascii="Arial" w:hAnsi="Arial" w:cs="Arial"/>
          <w:b/>
          <w:color w:val="0070C0"/>
          <w:sz w:val="20"/>
          <w:szCs w:val="20"/>
        </w:rPr>
      </w:pPr>
      <w:r>
        <w:rPr>
          <w:rFonts w:ascii="Arial" w:hAnsi="Arial" w:cs="Arial"/>
          <w:b/>
          <w:color w:val="0070C0"/>
          <w:sz w:val="20"/>
          <w:szCs w:val="20"/>
        </w:rPr>
        <w:t xml:space="preserve">Economies remain </w:t>
      </w:r>
      <w:proofErr w:type="gramStart"/>
      <w:r w:rsidR="001D6ADC">
        <w:rPr>
          <w:rFonts w:ascii="Arial" w:hAnsi="Arial" w:cs="Arial"/>
          <w:b/>
          <w:color w:val="0070C0"/>
          <w:sz w:val="20"/>
          <w:szCs w:val="20"/>
        </w:rPr>
        <w:t>resilient</w:t>
      </w:r>
      <w:proofErr w:type="gramEnd"/>
    </w:p>
    <w:p w14:paraId="3B7AA797" w14:textId="7D05A3CD" w:rsidR="00D44CED" w:rsidRDefault="00D44CED" w:rsidP="006323A7">
      <w:pPr>
        <w:rPr>
          <w:rFonts w:ascii="Arial" w:hAnsi="Arial" w:cs="Arial"/>
          <w:color w:val="000000" w:themeColor="text1"/>
          <w:sz w:val="18"/>
          <w:szCs w:val="18"/>
        </w:rPr>
      </w:pPr>
      <w:r w:rsidRPr="00D44CED">
        <w:rPr>
          <w:rFonts w:ascii="Arial" w:hAnsi="Arial" w:cs="Arial"/>
          <w:color w:val="000000" w:themeColor="text1"/>
          <w:sz w:val="18"/>
          <w:szCs w:val="18"/>
        </w:rPr>
        <w:t xml:space="preserve">Central banks’ efforts to tame inflation by tightening monetary policy are essentially an attempt to reduce the prevailing level of </w:t>
      </w:r>
      <w:r w:rsidR="001D6ADC">
        <w:rPr>
          <w:rFonts w:ascii="Arial" w:hAnsi="Arial" w:cs="Arial"/>
          <w:color w:val="000000" w:themeColor="text1"/>
          <w:sz w:val="18"/>
          <w:szCs w:val="18"/>
        </w:rPr>
        <w:t xml:space="preserve">economic </w:t>
      </w:r>
      <w:r w:rsidRPr="00D44CED">
        <w:rPr>
          <w:rFonts w:ascii="Arial" w:hAnsi="Arial" w:cs="Arial"/>
          <w:color w:val="000000" w:themeColor="text1"/>
          <w:sz w:val="18"/>
          <w:szCs w:val="18"/>
        </w:rPr>
        <w:t xml:space="preserve">demand. Activity level measures are mixed in this regard. The US Institute of Supply Management measures activity both in the services and manufacturing sectors. The ISM index for services was 55.1 in February, which indicates this segment of the economy was in expansion mode. In contrast the manufacturing index recorded 47.7 in February, slightly better than January but indicating contraction in manufacturing. The services sector dominates most economies, for example contributing 77.6% of US GDP. </w:t>
      </w:r>
    </w:p>
    <w:p w14:paraId="6736705A" w14:textId="77777777" w:rsidR="001D6ADC" w:rsidRDefault="001D6ADC" w:rsidP="006323A7">
      <w:pPr>
        <w:rPr>
          <w:rFonts w:ascii="Arial" w:hAnsi="Arial" w:cs="Arial"/>
          <w:color w:val="000000" w:themeColor="text1"/>
          <w:sz w:val="18"/>
          <w:szCs w:val="18"/>
        </w:rPr>
      </w:pPr>
    </w:p>
    <w:p w14:paraId="2CC3E3CE" w14:textId="77777777" w:rsidR="001D6ADC" w:rsidRDefault="001D6ADC" w:rsidP="006323A7">
      <w:pPr>
        <w:rPr>
          <w:rFonts w:ascii="Arial" w:hAnsi="Arial" w:cs="Arial"/>
          <w:color w:val="000000" w:themeColor="text1"/>
          <w:sz w:val="18"/>
          <w:szCs w:val="18"/>
        </w:rPr>
      </w:pPr>
    </w:p>
    <w:p w14:paraId="17A03E53" w14:textId="77777777" w:rsidR="001D6ADC" w:rsidRDefault="001D6ADC" w:rsidP="006323A7">
      <w:pPr>
        <w:rPr>
          <w:rFonts w:ascii="Arial" w:hAnsi="Arial" w:cs="Arial"/>
          <w:color w:val="000000" w:themeColor="text1"/>
          <w:sz w:val="18"/>
          <w:szCs w:val="18"/>
        </w:rPr>
      </w:pPr>
    </w:p>
    <w:p w14:paraId="520565BA" w14:textId="60D658E4" w:rsidR="00D44CED" w:rsidRDefault="00D44CED" w:rsidP="006323A7">
      <w:pPr>
        <w:rPr>
          <w:rFonts w:ascii="Arial" w:hAnsi="Arial" w:cs="Arial"/>
          <w:color w:val="000000" w:themeColor="text1"/>
          <w:sz w:val="18"/>
          <w:szCs w:val="18"/>
        </w:rPr>
      </w:pPr>
      <w:r w:rsidRPr="00D44CED">
        <w:rPr>
          <w:rFonts w:ascii="Arial" w:hAnsi="Arial" w:cs="Arial"/>
          <w:color w:val="000000" w:themeColor="text1"/>
          <w:sz w:val="18"/>
          <w:szCs w:val="18"/>
        </w:rPr>
        <w:t xml:space="preserve">China’s shift in COVID management and subsequent reopening of the economy has clearly had a positive impact on activity there. Manufacturing in China was also in expansionary mode but not to the degree of services at 51.6 in February. The level of activity is China is of global significance, ranging from Australian resources demand to French luxury goods. Activity levels are also reflected in employment statistics. </w:t>
      </w:r>
    </w:p>
    <w:p w14:paraId="7A35F36A" w14:textId="3D787AA2" w:rsidR="006323A7" w:rsidRPr="00D44CED" w:rsidRDefault="00D44CED" w:rsidP="006323A7">
      <w:pPr>
        <w:rPr>
          <w:rFonts w:ascii="Arial" w:hAnsi="Arial" w:cs="Arial"/>
          <w:color w:val="000000" w:themeColor="text1"/>
          <w:sz w:val="18"/>
          <w:szCs w:val="18"/>
        </w:rPr>
      </w:pPr>
      <w:r w:rsidRPr="00D44CED">
        <w:rPr>
          <w:rFonts w:ascii="Arial" w:hAnsi="Arial" w:cs="Arial"/>
          <w:color w:val="000000" w:themeColor="text1"/>
          <w:sz w:val="18"/>
          <w:szCs w:val="18"/>
        </w:rPr>
        <w:t>The United States headlines have highlighted large layoffs in technology companies from Meta (11,000) to Amazon (18,000). However, US Non-Farm Payrolls have been strong with 517,000 jobs created in January, and the ratio of job openings to job seekers is estimated at 2 to 1.</w:t>
      </w:r>
      <w:r w:rsidRPr="00D44CED">
        <w:t xml:space="preserve"> </w:t>
      </w:r>
      <w:r w:rsidRPr="00D44CED">
        <w:rPr>
          <w:rFonts w:ascii="Arial" w:hAnsi="Arial" w:cs="Arial"/>
          <w:color w:val="000000" w:themeColor="text1"/>
          <w:sz w:val="18"/>
          <w:szCs w:val="18"/>
        </w:rPr>
        <w:t xml:space="preserve">Consumer demand and remuneration remain strong </w:t>
      </w:r>
      <w:proofErr w:type="gramStart"/>
      <w:r w:rsidRPr="00D44CED">
        <w:rPr>
          <w:rFonts w:ascii="Arial" w:hAnsi="Arial" w:cs="Arial"/>
          <w:color w:val="000000" w:themeColor="text1"/>
          <w:sz w:val="18"/>
          <w:szCs w:val="18"/>
        </w:rPr>
        <w:t>as a consequence</w:t>
      </w:r>
      <w:proofErr w:type="gramEnd"/>
      <w:r w:rsidRPr="00D44CED">
        <w:rPr>
          <w:rFonts w:ascii="Arial" w:hAnsi="Arial" w:cs="Arial"/>
          <w:color w:val="000000" w:themeColor="text1"/>
          <w:sz w:val="18"/>
          <w:szCs w:val="18"/>
        </w:rPr>
        <w:t xml:space="preserve"> and represent a hurdle to the inflation fight.</w:t>
      </w:r>
    </w:p>
    <w:p w14:paraId="010A6843" w14:textId="77777777" w:rsidR="006323A7" w:rsidRPr="00D44CED" w:rsidRDefault="006323A7" w:rsidP="006323A7">
      <w:pPr>
        <w:rPr>
          <w:rFonts w:ascii="Arial" w:hAnsi="Arial" w:cs="Arial"/>
          <w:color w:val="000000" w:themeColor="text1"/>
          <w:sz w:val="18"/>
          <w:szCs w:val="18"/>
          <w:lang w:val="en-US"/>
        </w:rPr>
      </w:pPr>
    </w:p>
    <w:p w14:paraId="59B1F773" w14:textId="53141C78" w:rsidR="008D1C34" w:rsidRDefault="003779CA" w:rsidP="00E67A30">
      <w:pPr>
        <w:spacing w:before="0" w:after="0"/>
        <w:rPr>
          <w:rFonts w:ascii="Arial" w:hAnsi="Arial" w:cs="Arial"/>
          <w:b/>
          <w:color w:val="1D71B8"/>
          <w:sz w:val="18"/>
          <w:szCs w:val="18"/>
        </w:rPr>
      </w:pPr>
      <w:r>
        <w:rPr>
          <w:rFonts w:ascii="Arial" w:hAnsi="Arial" w:cs="Arial"/>
          <w:b/>
          <w:color w:val="1D71B8"/>
          <w:sz w:val="18"/>
          <w:szCs w:val="18"/>
        </w:rPr>
        <w:t>New Zealand Share Market</w:t>
      </w:r>
    </w:p>
    <w:p w14:paraId="045FB4AB" w14:textId="202F08F9" w:rsidR="006323A7"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t xml:space="preserve">For February the New Zealand share market fell 0.60% after rising over 4% in January. In February there were </w:t>
      </w:r>
      <w:proofErr w:type="gramStart"/>
      <w:r w:rsidRPr="006323A7">
        <w:rPr>
          <w:rFonts w:ascii="Arial" w:hAnsi="Arial" w:cs="Arial"/>
          <w:color w:val="auto"/>
          <w:sz w:val="18"/>
          <w:szCs w:val="18"/>
        </w:rPr>
        <w:t>a number of</w:t>
      </w:r>
      <w:proofErr w:type="gramEnd"/>
      <w:r w:rsidRPr="006323A7">
        <w:rPr>
          <w:rFonts w:ascii="Arial" w:hAnsi="Arial" w:cs="Arial"/>
          <w:color w:val="auto"/>
          <w:sz w:val="18"/>
          <w:szCs w:val="18"/>
        </w:rPr>
        <w:t xml:space="preserve"> companies providing</w:t>
      </w:r>
      <w:r>
        <w:rPr>
          <w:rFonts w:ascii="Arial" w:hAnsi="Arial" w:cs="Arial"/>
          <w:color w:val="auto"/>
          <w:sz w:val="18"/>
          <w:szCs w:val="18"/>
        </w:rPr>
        <w:t xml:space="preserve"> </w:t>
      </w:r>
      <w:r w:rsidRPr="006323A7">
        <w:rPr>
          <w:rFonts w:ascii="Arial" w:hAnsi="Arial" w:cs="Arial"/>
          <w:color w:val="auto"/>
          <w:sz w:val="18"/>
          <w:szCs w:val="18"/>
        </w:rPr>
        <w:t>an update and guidance for the coming year. Broadly companies delivered revenue ahead of what the market expected but costs pressures meant</w:t>
      </w:r>
      <w:r>
        <w:rPr>
          <w:rFonts w:ascii="Arial" w:hAnsi="Arial" w:cs="Arial"/>
          <w:color w:val="auto"/>
          <w:sz w:val="18"/>
          <w:szCs w:val="18"/>
        </w:rPr>
        <w:t xml:space="preserve"> </w:t>
      </w:r>
      <w:r w:rsidRPr="006323A7">
        <w:rPr>
          <w:rFonts w:ascii="Arial" w:hAnsi="Arial" w:cs="Arial"/>
          <w:color w:val="auto"/>
          <w:sz w:val="18"/>
          <w:szCs w:val="18"/>
        </w:rPr>
        <w:t>net profits were below expectations. Rising costs from wages and materials was a common theme.</w:t>
      </w:r>
    </w:p>
    <w:p w14:paraId="5488A07E" w14:textId="44D3E80E" w:rsidR="006323A7"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br/>
        <w:t>The big news was the almost $1 billion capital raise by Ryman Healthcare Ltd. The company is looking to strengthen its balance sheet through the</w:t>
      </w:r>
      <w:r>
        <w:rPr>
          <w:rFonts w:ascii="Arial" w:hAnsi="Arial" w:cs="Arial"/>
          <w:color w:val="auto"/>
          <w:sz w:val="18"/>
          <w:szCs w:val="18"/>
        </w:rPr>
        <w:t xml:space="preserve"> </w:t>
      </w:r>
      <w:r w:rsidRPr="006323A7">
        <w:rPr>
          <w:rFonts w:ascii="Arial" w:hAnsi="Arial" w:cs="Arial"/>
          <w:color w:val="auto"/>
          <w:sz w:val="18"/>
          <w:szCs w:val="18"/>
        </w:rPr>
        <w:t>repayment of debt and provide some capital for future growth. The retirement sector saw weakness across the board and was one of the weakest</w:t>
      </w:r>
      <w:r>
        <w:rPr>
          <w:rFonts w:ascii="Arial" w:hAnsi="Arial" w:cs="Arial"/>
          <w:color w:val="auto"/>
          <w:sz w:val="18"/>
          <w:szCs w:val="18"/>
        </w:rPr>
        <w:t xml:space="preserve"> </w:t>
      </w:r>
      <w:r w:rsidRPr="006323A7">
        <w:rPr>
          <w:rFonts w:ascii="Arial" w:hAnsi="Arial" w:cs="Arial"/>
          <w:color w:val="auto"/>
          <w:sz w:val="18"/>
          <w:szCs w:val="18"/>
        </w:rPr>
        <w:t>performers for the month.</w:t>
      </w:r>
    </w:p>
    <w:p w14:paraId="31EDF0DC" w14:textId="11BE5D76" w:rsidR="00746EEF"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br/>
        <w:t>In February the Reserve Bank of New Zealand</w:t>
      </w:r>
      <w:r w:rsidR="006460B5">
        <w:rPr>
          <w:rFonts w:ascii="Arial" w:hAnsi="Arial" w:cs="Arial"/>
          <w:color w:val="auto"/>
          <w:sz w:val="18"/>
          <w:szCs w:val="18"/>
        </w:rPr>
        <w:t xml:space="preserve"> (RBNZ)</w:t>
      </w:r>
      <w:r w:rsidRPr="006323A7">
        <w:rPr>
          <w:rFonts w:ascii="Arial" w:hAnsi="Arial" w:cs="Arial"/>
          <w:color w:val="auto"/>
          <w:sz w:val="18"/>
          <w:szCs w:val="18"/>
        </w:rPr>
        <w:t xml:space="preserve"> had a difficult decision to make in the wake of the floods in Auckland and then the Gisborne/Hawkes Bay region. Economic data had been strong showing inflation has been persistent but on the other hand the RBNZ had to weigh up</w:t>
      </w:r>
      <w:r>
        <w:rPr>
          <w:rFonts w:ascii="Arial" w:hAnsi="Arial" w:cs="Arial"/>
          <w:color w:val="auto"/>
          <w:sz w:val="18"/>
          <w:szCs w:val="18"/>
        </w:rPr>
        <w:t xml:space="preserve"> </w:t>
      </w:r>
      <w:r w:rsidRPr="006323A7">
        <w:rPr>
          <w:rFonts w:ascii="Arial" w:hAnsi="Arial" w:cs="Arial"/>
          <w:color w:val="auto"/>
          <w:sz w:val="18"/>
          <w:szCs w:val="18"/>
        </w:rPr>
        <w:t>the impact of higher interest rates on parts of the economy already reeling from storm damage and disruption to livelihoods. From a long-term</w:t>
      </w:r>
      <w:r>
        <w:rPr>
          <w:rFonts w:ascii="Arial" w:hAnsi="Arial" w:cs="Arial"/>
          <w:color w:val="auto"/>
          <w:sz w:val="18"/>
          <w:szCs w:val="18"/>
        </w:rPr>
        <w:t xml:space="preserve"> </w:t>
      </w:r>
      <w:r w:rsidRPr="006323A7">
        <w:rPr>
          <w:rFonts w:ascii="Arial" w:hAnsi="Arial" w:cs="Arial"/>
          <w:color w:val="auto"/>
          <w:sz w:val="18"/>
          <w:szCs w:val="18"/>
        </w:rPr>
        <w:t xml:space="preserve">perspective taming inflation </w:t>
      </w:r>
      <w:proofErr w:type="gramStart"/>
      <w:r w:rsidRPr="006323A7">
        <w:rPr>
          <w:rFonts w:ascii="Arial" w:hAnsi="Arial" w:cs="Arial"/>
          <w:color w:val="auto"/>
          <w:sz w:val="18"/>
          <w:szCs w:val="18"/>
        </w:rPr>
        <w:t>has to</w:t>
      </w:r>
      <w:proofErr w:type="gramEnd"/>
      <w:r w:rsidRPr="006323A7">
        <w:rPr>
          <w:rFonts w:ascii="Arial" w:hAnsi="Arial" w:cs="Arial"/>
          <w:color w:val="auto"/>
          <w:sz w:val="18"/>
          <w:szCs w:val="18"/>
        </w:rPr>
        <w:t xml:space="preserve"> occur and raising the Official Cash Rate by 0.50% was most probably a difficult but right call.</w:t>
      </w:r>
    </w:p>
    <w:p w14:paraId="103DF3AD" w14:textId="77777777" w:rsidR="00746EEF" w:rsidRDefault="00746EEF" w:rsidP="00420AE9">
      <w:pPr>
        <w:spacing w:before="0" w:after="0"/>
        <w:jc w:val="both"/>
        <w:rPr>
          <w:rFonts w:ascii="Arial" w:hAnsi="Arial" w:cs="Arial"/>
          <w:color w:val="auto"/>
          <w:sz w:val="18"/>
          <w:szCs w:val="18"/>
        </w:rPr>
      </w:pPr>
    </w:p>
    <w:p w14:paraId="33B9FFD3" w14:textId="1B6ECC7F" w:rsidR="00746EEF" w:rsidRDefault="003779CA" w:rsidP="00E67376">
      <w:pPr>
        <w:spacing w:before="0" w:after="0"/>
        <w:jc w:val="both"/>
        <w:rPr>
          <w:rFonts w:ascii="Arial" w:hAnsi="Arial" w:cs="Arial"/>
          <w:b/>
          <w:color w:val="1D71B8"/>
          <w:sz w:val="18"/>
          <w:szCs w:val="18"/>
        </w:rPr>
      </w:pPr>
      <w:r>
        <w:rPr>
          <w:rFonts w:ascii="Arial" w:hAnsi="Arial" w:cs="Arial"/>
          <w:b/>
          <w:color w:val="1D71B8"/>
          <w:sz w:val="18"/>
          <w:szCs w:val="18"/>
        </w:rPr>
        <w:t>Australian Share Market</w:t>
      </w:r>
    </w:p>
    <w:p w14:paraId="7713CFC5" w14:textId="0025C053" w:rsidR="006323A7"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t>The Australian share market fell over February and was down 2.7%.</w:t>
      </w:r>
      <w:r w:rsidR="00C84097">
        <w:rPr>
          <w:rFonts w:ascii="Arial" w:hAnsi="Arial" w:cs="Arial"/>
          <w:color w:val="auto"/>
          <w:sz w:val="18"/>
          <w:szCs w:val="18"/>
        </w:rPr>
        <w:t xml:space="preserve"> </w:t>
      </w:r>
      <w:r w:rsidRPr="006323A7">
        <w:rPr>
          <w:rFonts w:ascii="Arial" w:hAnsi="Arial" w:cs="Arial"/>
          <w:color w:val="auto"/>
          <w:sz w:val="18"/>
          <w:szCs w:val="18"/>
        </w:rPr>
        <w:t>The Australian economy is showing signs of cooling and inflation eased in January. Markets are expecting further interest rate increases but are</w:t>
      </w:r>
      <w:r>
        <w:rPr>
          <w:rFonts w:ascii="Arial" w:hAnsi="Arial" w:cs="Arial"/>
          <w:color w:val="auto"/>
          <w:sz w:val="18"/>
          <w:szCs w:val="18"/>
        </w:rPr>
        <w:t xml:space="preserve"> </w:t>
      </w:r>
      <w:r w:rsidRPr="006323A7">
        <w:rPr>
          <w:rFonts w:ascii="Arial" w:hAnsi="Arial" w:cs="Arial"/>
          <w:color w:val="auto"/>
          <w:sz w:val="18"/>
          <w:szCs w:val="18"/>
        </w:rPr>
        <w:t>now forecasting this to occur in increments of 0.25% as further data confirms inflation is tracking towards the Reserve Bank of Australia’s</w:t>
      </w:r>
      <w:r>
        <w:rPr>
          <w:rFonts w:ascii="Arial" w:hAnsi="Arial" w:cs="Arial"/>
          <w:color w:val="auto"/>
          <w:sz w:val="18"/>
          <w:szCs w:val="18"/>
        </w:rPr>
        <w:t xml:space="preserve"> </w:t>
      </w:r>
      <w:r w:rsidRPr="006323A7">
        <w:rPr>
          <w:rFonts w:ascii="Arial" w:hAnsi="Arial" w:cs="Arial"/>
          <w:color w:val="auto"/>
          <w:sz w:val="18"/>
          <w:szCs w:val="18"/>
        </w:rPr>
        <w:t>target range.</w:t>
      </w:r>
    </w:p>
    <w:p w14:paraId="4471B64A" w14:textId="10063F07" w:rsidR="00CF1906"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br/>
        <w:t>Reporting season is nearing the end and the consistent theme is revenue figures that were in line with market expectations, but earnings</w:t>
      </w:r>
      <w:r>
        <w:rPr>
          <w:rFonts w:ascii="Arial" w:hAnsi="Arial" w:cs="Arial"/>
          <w:color w:val="auto"/>
          <w:sz w:val="18"/>
          <w:szCs w:val="18"/>
        </w:rPr>
        <w:t xml:space="preserve"> </w:t>
      </w:r>
      <w:r w:rsidRPr="006323A7">
        <w:rPr>
          <w:rFonts w:ascii="Arial" w:hAnsi="Arial" w:cs="Arial"/>
          <w:color w:val="auto"/>
          <w:sz w:val="18"/>
          <w:szCs w:val="18"/>
        </w:rPr>
        <w:t>lower. This shows growth continues through higher sales, but companies are finding it increasingly difficult to pass on rising input costs.</w:t>
      </w:r>
      <w:r>
        <w:rPr>
          <w:rFonts w:ascii="Arial" w:hAnsi="Arial" w:cs="Arial"/>
          <w:color w:val="auto"/>
          <w:sz w:val="18"/>
          <w:szCs w:val="18"/>
        </w:rPr>
        <w:t xml:space="preserve"> </w:t>
      </w:r>
      <w:r w:rsidRPr="006323A7">
        <w:rPr>
          <w:rFonts w:ascii="Arial" w:hAnsi="Arial" w:cs="Arial"/>
          <w:color w:val="auto"/>
          <w:sz w:val="18"/>
          <w:szCs w:val="18"/>
        </w:rPr>
        <w:t>As always there are sectors that will benefit as consumers change their behaviour and spending patterns, China continues to catch up</w:t>
      </w:r>
      <w:r>
        <w:rPr>
          <w:rFonts w:ascii="Arial" w:hAnsi="Arial" w:cs="Arial"/>
          <w:color w:val="auto"/>
          <w:sz w:val="18"/>
          <w:szCs w:val="18"/>
        </w:rPr>
        <w:t xml:space="preserve"> </w:t>
      </w:r>
      <w:r w:rsidRPr="006323A7">
        <w:rPr>
          <w:rFonts w:ascii="Arial" w:hAnsi="Arial" w:cs="Arial"/>
          <w:color w:val="auto"/>
          <w:sz w:val="18"/>
          <w:szCs w:val="18"/>
        </w:rPr>
        <w:t>infrastructure spend and with borders reopening the movement of people to Australia will see increasing demand in retail and housing.</w:t>
      </w:r>
    </w:p>
    <w:p w14:paraId="596B0A87" w14:textId="3A9C3EF1" w:rsidR="00CF1906" w:rsidRDefault="00CF1906" w:rsidP="00CF1906">
      <w:pPr>
        <w:spacing w:before="0" w:after="0"/>
        <w:jc w:val="both"/>
        <w:rPr>
          <w:rFonts w:ascii="Arial" w:hAnsi="Arial" w:cs="Arial"/>
          <w:b/>
          <w:color w:val="1D71B8"/>
          <w:sz w:val="18"/>
          <w:szCs w:val="18"/>
        </w:rPr>
      </w:pPr>
      <w:r w:rsidRPr="00CF1906">
        <w:rPr>
          <w:rFonts w:ascii="Arial" w:hAnsi="Arial" w:cs="Arial"/>
          <w:color w:val="auto"/>
          <w:sz w:val="18"/>
          <w:szCs w:val="18"/>
        </w:rPr>
        <w:br/>
      </w:r>
      <w:r w:rsidR="003779CA">
        <w:rPr>
          <w:rFonts w:ascii="Arial" w:hAnsi="Arial" w:cs="Arial"/>
          <w:b/>
          <w:color w:val="1D71B8"/>
          <w:sz w:val="18"/>
          <w:szCs w:val="18"/>
        </w:rPr>
        <w:t>Global Share Markets</w:t>
      </w:r>
    </w:p>
    <w:p w14:paraId="2A6A3F12" w14:textId="77777777" w:rsidR="006323A7"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t>The European region once again outperformed the US markets as the large tech companies of the US struggled to hold on to their gains</w:t>
      </w:r>
      <w:r>
        <w:rPr>
          <w:rFonts w:ascii="Arial" w:hAnsi="Arial" w:cs="Arial"/>
          <w:color w:val="auto"/>
          <w:sz w:val="18"/>
          <w:szCs w:val="18"/>
        </w:rPr>
        <w:t xml:space="preserve"> </w:t>
      </w:r>
      <w:r w:rsidRPr="006323A7">
        <w:rPr>
          <w:rFonts w:ascii="Arial" w:hAnsi="Arial" w:cs="Arial"/>
          <w:color w:val="auto"/>
          <w:sz w:val="18"/>
          <w:szCs w:val="18"/>
        </w:rPr>
        <w:t>from January. Investor sentiment changed as the Fed reiterated its stance that interest rates will rise and may have to be higher for longer to</w:t>
      </w:r>
      <w:r>
        <w:rPr>
          <w:rFonts w:ascii="Arial" w:hAnsi="Arial" w:cs="Arial"/>
          <w:color w:val="auto"/>
          <w:sz w:val="18"/>
          <w:szCs w:val="18"/>
        </w:rPr>
        <w:t xml:space="preserve"> </w:t>
      </w:r>
      <w:r w:rsidRPr="006323A7">
        <w:rPr>
          <w:rFonts w:ascii="Arial" w:hAnsi="Arial" w:cs="Arial"/>
          <w:color w:val="auto"/>
          <w:sz w:val="18"/>
          <w:szCs w:val="18"/>
        </w:rPr>
        <w:t>bring inflation back to the target range. The Fed’s preferred inflation gauge, the core Personal Consumption Expenditure (PCE) price index,</w:t>
      </w:r>
      <w:r>
        <w:rPr>
          <w:rFonts w:ascii="Arial" w:hAnsi="Arial" w:cs="Arial"/>
          <w:color w:val="auto"/>
          <w:sz w:val="18"/>
          <w:szCs w:val="18"/>
        </w:rPr>
        <w:t xml:space="preserve"> </w:t>
      </w:r>
      <w:r w:rsidRPr="006323A7">
        <w:rPr>
          <w:rFonts w:ascii="Arial" w:hAnsi="Arial" w:cs="Arial"/>
          <w:color w:val="auto"/>
          <w:sz w:val="18"/>
          <w:szCs w:val="18"/>
        </w:rPr>
        <w:t>unexpectedly accelerated in January and consumer spending rose.</w:t>
      </w:r>
    </w:p>
    <w:p w14:paraId="4B623B43" w14:textId="77777777" w:rsidR="006323A7"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br/>
        <w:t>Fourth quarter earnings results in the United States have almost all been announced, (over 90% of companies have reported). Revenue</w:t>
      </w:r>
      <w:r>
        <w:rPr>
          <w:rFonts w:ascii="Arial" w:hAnsi="Arial" w:cs="Arial"/>
          <w:color w:val="auto"/>
          <w:sz w:val="18"/>
          <w:szCs w:val="18"/>
        </w:rPr>
        <w:t xml:space="preserve"> </w:t>
      </w:r>
      <w:r w:rsidRPr="006323A7">
        <w:rPr>
          <w:rFonts w:ascii="Arial" w:hAnsi="Arial" w:cs="Arial"/>
          <w:color w:val="auto"/>
          <w:sz w:val="18"/>
          <w:szCs w:val="18"/>
        </w:rPr>
        <w:t>outcomes are more positive than earnings outcomes, suggesting cost pressures are material. Valuations of the S&amp;P500 are consistent with</w:t>
      </w:r>
      <w:r>
        <w:rPr>
          <w:rFonts w:ascii="Arial" w:hAnsi="Arial" w:cs="Arial"/>
          <w:color w:val="auto"/>
          <w:sz w:val="18"/>
          <w:szCs w:val="18"/>
        </w:rPr>
        <w:t xml:space="preserve"> </w:t>
      </w:r>
      <w:r w:rsidRPr="006323A7">
        <w:rPr>
          <w:rFonts w:ascii="Arial" w:hAnsi="Arial" w:cs="Arial"/>
          <w:color w:val="auto"/>
          <w:sz w:val="18"/>
          <w:szCs w:val="18"/>
        </w:rPr>
        <w:t>long-term averages. Financial markets are forward-looking though and we can expect earnings to recover in the second half of 2023.</w:t>
      </w:r>
    </w:p>
    <w:p w14:paraId="10195378" w14:textId="2ED1B32F" w:rsidR="00F62EE6" w:rsidRDefault="006323A7" w:rsidP="008D1C34">
      <w:pPr>
        <w:spacing w:before="0" w:after="0"/>
        <w:jc w:val="both"/>
        <w:rPr>
          <w:rFonts w:ascii="Arial" w:hAnsi="Arial" w:cs="Arial"/>
          <w:color w:val="auto"/>
          <w:sz w:val="18"/>
          <w:szCs w:val="18"/>
        </w:rPr>
      </w:pPr>
      <w:r w:rsidRPr="006323A7">
        <w:rPr>
          <w:rFonts w:ascii="Arial" w:hAnsi="Arial" w:cs="Arial"/>
          <w:color w:val="auto"/>
          <w:sz w:val="18"/>
          <w:szCs w:val="18"/>
        </w:rPr>
        <w:br/>
        <w:t>Europe had another positive month and has had some of the best performing markets over one year. Recent performance has been in part</w:t>
      </w:r>
      <w:r>
        <w:rPr>
          <w:rFonts w:ascii="Arial" w:hAnsi="Arial" w:cs="Arial"/>
          <w:color w:val="auto"/>
          <w:sz w:val="18"/>
          <w:szCs w:val="18"/>
        </w:rPr>
        <w:t xml:space="preserve"> </w:t>
      </w:r>
      <w:r w:rsidRPr="006323A7">
        <w:rPr>
          <w:rFonts w:ascii="Arial" w:hAnsi="Arial" w:cs="Arial"/>
          <w:color w:val="auto"/>
          <w:sz w:val="18"/>
          <w:szCs w:val="18"/>
        </w:rPr>
        <w:t>driven by the outlook improving from what investors feared for in 2022. The fear of economic weakness stemming from high gas prices</w:t>
      </w:r>
      <w:r>
        <w:rPr>
          <w:rFonts w:ascii="Arial" w:hAnsi="Arial" w:cs="Arial"/>
          <w:color w:val="auto"/>
          <w:sz w:val="18"/>
          <w:szCs w:val="18"/>
        </w:rPr>
        <w:t xml:space="preserve"> </w:t>
      </w:r>
      <w:r w:rsidRPr="006323A7">
        <w:rPr>
          <w:rFonts w:ascii="Arial" w:hAnsi="Arial" w:cs="Arial"/>
          <w:color w:val="auto"/>
          <w:sz w:val="18"/>
          <w:szCs w:val="18"/>
        </w:rPr>
        <w:t>diminished. Inflation remains a concern which is leading to higher interest rates, which is generally beneficial for banks. Many of the</w:t>
      </w:r>
      <w:r>
        <w:rPr>
          <w:rFonts w:ascii="Arial" w:hAnsi="Arial" w:cs="Arial"/>
          <w:color w:val="auto"/>
          <w:sz w:val="18"/>
          <w:szCs w:val="18"/>
        </w:rPr>
        <w:t xml:space="preserve"> </w:t>
      </w:r>
      <w:r w:rsidRPr="006323A7">
        <w:rPr>
          <w:rFonts w:ascii="Arial" w:hAnsi="Arial" w:cs="Arial"/>
          <w:color w:val="auto"/>
          <w:sz w:val="18"/>
          <w:szCs w:val="18"/>
        </w:rPr>
        <w:t>European indices are resource and financial sector heavy and this explains a significant portion of the performance over the last 12 months.</w:t>
      </w:r>
    </w:p>
    <w:p w14:paraId="13AE2E47" w14:textId="77777777" w:rsidR="006323A7" w:rsidRDefault="006323A7" w:rsidP="003B05E9">
      <w:pPr>
        <w:spacing w:before="0" w:after="0"/>
        <w:jc w:val="both"/>
        <w:rPr>
          <w:rFonts w:ascii="Arial" w:hAnsi="Arial" w:cs="Arial"/>
          <w:b/>
          <w:color w:val="1D71B8"/>
          <w:sz w:val="18"/>
          <w:szCs w:val="18"/>
        </w:rPr>
      </w:pPr>
    </w:p>
    <w:p w14:paraId="39104567" w14:textId="77777777" w:rsidR="00E45811" w:rsidRDefault="00C84097" w:rsidP="00E45811">
      <w:pPr>
        <w:spacing w:before="0" w:after="0"/>
        <w:jc w:val="both"/>
        <w:rPr>
          <w:rFonts w:ascii="Arial" w:hAnsi="Arial" w:cs="Arial"/>
          <w:b/>
          <w:color w:val="1D71B8"/>
          <w:sz w:val="18"/>
          <w:szCs w:val="18"/>
        </w:rPr>
      </w:pPr>
      <w:r>
        <w:rPr>
          <w:rFonts w:ascii="Arial" w:hAnsi="Arial" w:cs="Arial"/>
          <w:b/>
          <w:color w:val="1D71B8"/>
          <w:sz w:val="18"/>
          <w:szCs w:val="18"/>
        </w:rPr>
        <w:t>Summary</w:t>
      </w:r>
    </w:p>
    <w:p w14:paraId="330F9355" w14:textId="2FE9D800" w:rsidR="006323A7" w:rsidRDefault="006323A7" w:rsidP="00E45811">
      <w:pPr>
        <w:spacing w:before="0" w:after="0"/>
        <w:jc w:val="both"/>
        <w:rPr>
          <w:rFonts w:ascii="Arial" w:hAnsi="Arial" w:cs="Arial"/>
          <w:color w:val="auto"/>
          <w:sz w:val="18"/>
          <w:szCs w:val="18"/>
        </w:rPr>
      </w:pPr>
      <w:r w:rsidRPr="006323A7">
        <w:rPr>
          <w:rFonts w:ascii="Arial" w:hAnsi="Arial" w:cs="Arial"/>
          <w:color w:val="auto"/>
          <w:sz w:val="18"/>
          <w:szCs w:val="18"/>
        </w:rPr>
        <w:t>Inflation, and bringing this to within each central bank’s target range, continues to be the key theme. In general, the data shows economies</w:t>
      </w:r>
      <w:r>
        <w:rPr>
          <w:rFonts w:ascii="Arial" w:hAnsi="Arial" w:cs="Arial"/>
          <w:color w:val="auto"/>
          <w:sz w:val="18"/>
          <w:szCs w:val="18"/>
        </w:rPr>
        <w:t xml:space="preserve"> </w:t>
      </w:r>
      <w:r w:rsidRPr="006323A7">
        <w:rPr>
          <w:rFonts w:ascii="Arial" w:hAnsi="Arial" w:cs="Arial"/>
          <w:color w:val="auto"/>
          <w:sz w:val="18"/>
          <w:szCs w:val="18"/>
        </w:rPr>
        <w:t>continue to grow and the cost of production increasing. Central banks are resolute in their commitment to increasing rates until there is</w:t>
      </w:r>
      <w:r>
        <w:rPr>
          <w:rFonts w:ascii="Arial" w:hAnsi="Arial" w:cs="Arial"/>
          <w:color w:val="auto"/>
          <w:sz w:val="18"/>
          <w:szCs w:val="18"/>
        </w:rPr>
        <w:t xml:space="preserve"> </w:t>
      </w:r>
      <w:r w:rsidRPr="006323A7">
        <w:rPr>
          <w:rFonts w:ascii="Arial" w:hAnsi="Arial" w:cs="Arial"/>
          <w:color w:val="auto"/>
          <w:sz w:val="18"/>
          <w:szCs w:val="18"/>
        </w:rPr>
        <w:t>evidence that the higher interest rates are slowing the economy. A pivot in the central bank’s position on interest rates will be a catalyst for</w:t>
      </w:r>
      <w:r>
        <w:rPr>
          <w:rFonts w:ascii="Arial" w:hAnsi="Arial" w:cs="Arial"/>
          <w:color w:val="auto"/>
          <w:sz w:val="18"/>
          <w:szCs w:val="18"/>
        </w:rPr>
        <w:t xml:space="preserve"> </w:t>
      </w:r>
      <w:r w:rsidRPr="006323A7">
        <w:rPr>
          <w:rFonts w:ascii="Arial" w:hAnsi="Arial" w:cs="Arial"/>
          <w:color w:val="auto"/>
          <w:sz w:val="18"/>
          <w:szCs w:val="18"/>
        </w:rPr>
        <w:t>markets to rise. Fixed interest is now being rewarded and an investor can receive yields over 6% with the possibility of future interest rate</w:t>
      </w:r>
      <w:r>
        <w:rPr>
          <w:rFonts w:ascii="Arial" w:hAnsi="Arial" w:cs="Arial"/>
          <w:color w:val="auto"/>
          <w:sz w:val="18"/>
          <w:szCs w:val="18"/>
        </w:rPr>
        <w:t xml:space="preserve"> </w:t>
      </w:r>
      <w:r w:rsidRPr="006323A7">
        <w:rPr>
          <w:rFonts w:ascii="Arial" w:hAnsi="Arial" w:cs="Arial"/>
          <w:color w:val="auto"/>
          <w:sz w:val="18"/>
          <w:szCs w:val="18"/>
        </w:rPr>
        <w:t>cuts once inflation has been tamed.</w:t>
      </w:r>
    </w:p>
    <w:p w14:paraId="7E93F671" w14:textId="77777777" w:rsidR="001D6ADC" w:rsidRDefault="006323A7" w:rsidP="008D1C34">
      <w:pPr>
        <w:jc w:val="both"/>
        <w:rPr>
          <w:rFonts w:ascii="Arial" w:hAnsi="Arial" w:cs="Arial"/>
          <w:color w:val="auto"/>
          <w:sz w:val="18"/>
          <w:szCs w:val="18"/>
        </w:rPr>
      </w:pPr>
      <w:r w:rsidRPr="006323A7">
        <w:rPr>
          <w:rFonts w:ascii="Arial" w:hAnsi="Arial" w:cs="Arial"/>
          <w:color w:val="auto"/>
          <w:sz w:val="18"/>
          <w:szCs w:val="18"/>
        </w:rPr>
        <w:br/>
      </w:r>
    </w:p>
    <w:p w14:paraId="104B9C27" w14:textId="77777777" w:rsidR="001D6ADC" w:rsidRDefault="001D6ADC" w:rsidP="008D1C34">
      <w:pPr>
        <w:jc w:val="both"/>
        <w:rPr>
          <w:rFonts w:ascii="Arial" w:hAnsi="Arial" w:cs="Arial"/>
          <w:color w:val="auto"/>
          <w:sz w:val="18"/>
          <w:szCs w:val="18"/>
        </w:rPr>
      </w:pPr>
    </w:p>
    <w:p w14:paraId="255C8584" w14:textId="77777777" w:rsidR="00DC05CF" w:rsidRDefault="00DC05CF" w:rsidP="008D1C34">
      <w:pPr>
        <w:jc w:val="both"/>
        <w:rPr>
          <w:rFonts w:ascii="Arial" w:hAnsi="Arial" w:cs="Arial"/>
          <w:color w:val="auto"/>
          <w:sz w:val="18"/>
          <w:szCs w:val="18"/>
        </w:rPr>
      </w:pPr>
    </w:p>
    <w:p w14:paraId="271B53F9" w14:textId="77777777" w:rsidR="00DC05CF" w:rsidRDefault="00DC05CF" w:rsidP="008D1C34">
      <w:pPr>
        <w:jc w:val="both"/>
        <w:rPr>
          <w:rFonts w:ascii="Arial" w:hAnsi="Arial" w:cs="Arial"/>
          <w:color w:val="auto"/>
          <w:sz w:val="18"/>
          <w:szCs w:val="18"/>
        </w:rPr>
      </w:pPr>
    </w:p>
    <w:p w14:paraId="65B864D7" w14:textId="697ACD1A" w:rsidR="006323A7" w:rsidRDefault="006323A7" w:rsidP="008D1C34">
      <w:pPr>
        <w:jc w:val="both"/>
        <w:rPr>
          <w:rFonts w:ascii="Arial" w:hAnsi="Arial" w:cs="Arial"/>
          <w:color w:val="auto"/>
          <w:sz w:val="18"/>
          <w:szCs w:val="18"/>
        </w:rPr>
      </w:pPr>
      <w:r w:rsidRPr="006323A7">
        <w:rPr>
          <w:rFonts w:ascii="Arial" w:hAnsi="Arial" w:cs="Arial"/>
          <w:color w:val="auto"/>
          <w:sz w:val="18"/>
          <w:szCs w:val="18"/>
        </w:rPr>
        <w:t>Share markets are forward looking so the market will react before the data shows the economy growing. As such having exposure to</w:t>
      </w:r>
      <w:r>
        <w:rPr>
          <w:rFonts w:ascii="Arial" w:hAnsi="Arial" w:cs="Arial"/>
          <w:color w:val="auto"/>
          <w:sz w:val="18"/>
          <w:szCs w:val="18"/>
        </w:rPr>
        <w:t xml:space="preserve"> </w:t>
      </w:r>
      <w:r w:rsidRPr="006323A7">
        <w:rPr>
          <w:rFonts w:ascii="Arial" w:hAnsi="Arial" w:cs="Arial"/>
          <w:color w:val="auto"/>
          <w:sz w:val="18"/>
          <w:szCs w:val="18"/>
        </w:rPr>
        <w:t>growth assets is advised but being selective in how you gain that exposure will be the key. High growth companies continue to struggle but</w:t>
      </w:r>
      <w:r>
        <w:rPr>
          <w:rFonts w:ascii="Arial" w:hAnsi="Arial" w:cs="Arial"/>
          <w:color w:val="auto"/>
          <w:sz w:val="18"/>
          <w:szCs w:val="18"/>
        </w:rPr>
        <w:t xml:space="preserve"> </w:t>
      </w:r>
      <w:r w:rsidRPr="006323A7">
        <w:rPr>
          <w:rFonts w:ascii="Arial" w:hAnsi="Arial" w:cs="Arial"/>
          <w:color w:val="auto"/>
          <w:sz w:val="18"/>
          <w:szCs w:val="18"/>
        </w:rPr>
        <w:t>those that are able to pass on cost increases and pay a sustainable dividend, should prosper in a slowing environment.</w:t>
      </w:r>
    </w:p>
    <w:p w14:paraId="2E9A4A19" w14:textId="107A30D0" w:rsidR="006323A7" w:rsidRDefault="006323A7" w:rsidP="008D1C34">
      <w:pPr>
        <w:jc w:val="both"/>
        <w:rPr>
          <w:rFonts w:ascii="Arial" w:hAnsi="Arial" w:cs="Arial"/>
          <w:sz w:val="18"/>
          <w:szCs w:val="18"/>
        </w:rPr>
      </w:pPr>
      <w:r w:rsidRPr="006323A7">
        <w:rPr>
          <w:rFonts w:ascii="Arial" w:hAnsi="Arial" w:cs="Arial"/>
          <w:color w:val="auto"/>
          <w:sz w:val="18"/>
          <w:szCs w:val="18"/>
        </w:rPr>
        <w:t>Focusing on your long-term goals while acknowledging that in the short-term, returns may be volatile, should reward investors.</w:t>
      </w:r>
    </w:p>
    <w:p w14:paraId="1B14F25A" w14:textId="77777777" w:rsidR="006323A7" w:rsidRDefault="006323A7" w:rsidP="00CF1906">
      <w:pPr>
        <w:rPr>
          <w:rFonts w:ascii="Arial" w:hAnsi="Arial" w:cs="Arial"/>
          <w:sz w:val="18"/>
          <w:szCs w:val="18"/>
        </w:rPr>
      </w:pPr>
    </w:p>
    <w:p w14:paraId="64E026E5" w14:textId="77777777" w:rsidR="00C84097" w:rsidRPr="00C84097" w:rsidRDefault="00C84097" w:rsidP="00C84097">
      <w:pPr>
        <w:spacing w:after="120"/>
        <w:rPr>
          <w:rFonts w:ascii="Arial" w:hAnsi="Arial" w:cs="Arial"/>
          <w:b/>
          <w:color w:val="0070C0"/>
          <w:sz w:val="18"/>
          <w:szCs w:val="18"/>
        </w:rPr>
      </w:pPr>
      <w:r w:rsidRPr="00C84097">
        <w:rPr>
          <w:rFonts w:ascii="Arial" w:hAnsi="Arial" w:cs="Arial"/>
          <w:b/>
          <w:color w:val="0070C0"/>
          <w:sz w:val="18"/>
          <w:szCs w:val="18"/>
        </w:rPr>
        <w:t>Indices for Key Markets</w:t>
      </w:r>
    </w:p>
    <w:tbl>
      <w:tblPr>
        <w:tblStyle w:val="TableGrid"/>
        <w:tblW w:w="10201" w:type="dxa"/>
        <w:tblLook w:val="04A0" w:firstRow="1" w:lastRow="0" w:firstColumn="1" w:lastColumn="0" w:noHBand="0" w:noVBand="1"/>
      </w:tblPr>
      <w:tblGrid>
        <w:gridCol w:w="3539"/>
        <w:gridCol w:w="1332"/>
        <w:gridCol w:w="1332"/>
        <w:gridCol w:w="1333"/>
        <w:gridCol w:w="1332"/>
        <w:gridCol w:w="1333"/>
      </w:tblGrid>
      <w:tr w:rsidR="00C84097" w:rsidRPr="003A2624" w14:paraId="5E5C8558" w14:textId="77777777" w:rsidTr="00434364">
        <w:tc>
          <w:tcPr>
            <w:tcW w:w="3539" w:type="dxa"/>
            <w:shd w:val="clear" w:color="auto" w:fill="1D71B8"/>
          </w:tcPr>
          <w:p w14:paraId="06410878" w14:textId="77777777" w:rsidR="00C84097" w:rsidRPr="00CF1906" w:rsidRDefault="00C84097" w:rsidP="00434364">
            <w:pPr>
              <w:jc w:val="both"/>
              <w:rPr>
                <w:rFonts w:ascii="Arial" w:hAnsi="Arial" w:cs="Arial"/>
                <w:b/>
                <w:color w:val="FFFFFF" w:themeColor="background1"/>
                <w:sz w:val="18"/>
                <w:szCs w:val="18"/>
              </w:rPr>
            </w:pPr>
            <w:r w:rsidRPr="00CF1906">
              <w:rPr>
                <w:rFonts w:ascii="Arial" w:hAnsi="Arial" w:cs="Arial"/>
                <w:b/>
                <w:color w:val="FFFFFF" w:themeColor="background1"/>
                <w:sz w:val="18"/>
                <w:szCs w:val="18"/>
              </w:rPr>
              <w:t xml:space="preserve">As </w:t>
            </w:r>
            <w:proofErr w:type="gramStart"/>
            <w:r w:rsidRPr="00CF1906">
              <w:rPr>
                <w:rFonts w:ascii="Arial" w:hAnsi="Arial" w:cs="Arial"/>
                <w:b/>
                <w:color w:val="FFFFFF" w:themeColor="background1"/>
                <w:sz w:val="18"/>
                <w:szCs w:val="18"/>
              </w:rPr>
              <w:t>at</w:t>
            </w:r>
            <w:proofErr w:type="gramEnd"/>
            <w:r w:rsidRPr="00CF1906">
              <w:rPr>
                <w:rFonts w:ascii="Arial" w:hAnsi="Arial" w:cs="Arial"/>
                <w:b/>
                <w:color w:val="FFFFFF" w:themeColor="background1"/>
                <w:sz w:val="18"/>
                <w:szCs w:val="18"/>
              </w:rPr>
              <w:t xml:space="preserve"> </w:t>
            </w:r>
            <w:r>
              <w:rPr>
                <w:rFonts w:ascii="Arial" w:hAnsi="Arial" w:cs="Arial"/>
                <w:b/>
                <w:color w:val="FFFFFF" w:themeColor="background1"/>
                <w:sz w:val="18"/>
                <w:szCs w:val="18"/>
              </w:rPr>
              <w:t>28 February</w:t>
            </w:r>
            <w:r w:rsidRPr="00CF1906">
              <w:rPr>
                <w:rFonts w:ascii="Arial" w:hAnsi="Arial" w:cs="Arial"/>
                <w:b/>
                <w:color w:val="FFFFFF" w:themeColor="background1"/>
                <w:sz w:val="18"/>
                <w:szCs w:val="18"/>
              </w:rPr>
              <w:t xml:space="preserve"> 202</w:t>
            </w:r>
            <w:r>
              <w:rPr>
                <w:rFonts w:ascii="Arial" w:hAnsi="Arial" w:cs="Arial"/>
                <w:b/>
                <w:color w:val="FFFFFF" w:themeColor="background1"/>
                <w:sz w:val="18"/>
                <w:szCs w:val="18"/>
              </w:rPr>
              <w:t>3</w:t>
            </w:r>
          </w:p>
        </w:tc>
        <w:tc>
          <w:tcPr>
            <w:tcW w:w="1332" w:type="dxa"/>
            <w:shd w:val="clear" w:color="auto" w:fill="1D71B8"/>
          </w:tcPr>
          <w:p w14:paraId="07EE9EF1" w14:textId="77777777" w:rsidR="00C84097" w:rsidRPr="00CF1906" w:rsidRDefault="00C84097" w:rsidP="00434364">
            <w:pPr>
              <w:jc w:val="both"/>
              <w:rPr>
                <w:rFonts w:ascii="Arial" w:hAnsi="Arial" w:cs="Arial"/>
                <w:b/>
                <w:color w:val="FFFFFF" w:themeColor="background1"/>
                <w:sz w:val="18"/>
                <w:szCs w:val="18"/>
              </w:rPr>
            </w:pPr>
            <w:r w:rsidRPr="00CF1906">
              <w:rPr>
                <w:rFonts w:ascii="Arial" w:hAnsi="Arial" w:cs="Arial"/>
                <w:b/>
                <w:color w:val="FFFFFF" w:themeColor="background1"/>
                <w:sz w:val="18"/>
                <w:szCs w:val="18"/>
              </w:rPr>
              <w:t>1 Month</w:t>
            </w:r>
          </w:p>
        </w:tc>
        <w:tc>
          <w:tcPr>
            <w:tcW w:w="1332" w:type="dxa"/>
            <w:shd w:val="clear" w:color="auto" w:fill="1D71B8"/>
          </w:tcPr>
          <w:p w14:paraId="685431A1" w14:textId="77777777" w:rsidR="00C84097" w:rsidRPr="00CF1906" w:rsidRDefault="00C84097" w:rsidP="00434364">
            <w:pPr>
              <w:jc w:val="both"/>
              <w:rPr>
                <w:rFonts w:ascii="Arial" w:hAnsi="Arial" w:cs="Arial"/>
                <w:b/>
                <w:color w:val="FFFFFF" w:themeColor="background1"/>
                <w:sz w:val="18"/>
                <w:szCs w:val="18"/>
              </w:rPr>
            </w:pPr>
            <w:r w:rsidRPr="00CF1906">
              <w:rPr>
                <w:rFonts w:ascii="Arial" w:hAnsi="Arial" w:cs="Arial"/>
                <w:b/>
                <w:color w:val="FFFFFF" w:themeColor="background1"/>
                <w:sz w:val="18"/>
                <w:szCs w:val="18"/>
              </w:rPr>
              <w:t>3 Months</w:t>
            </w:r>
          </w:p>
        </w:tc>
        <w:tc>
          <w:tcPr>
            <w:tcW w:w="1333" w:type="dxa"/>
            <w:shd w:val="clear" w:color="auto" w:fill="1D71B8"/>
          </w:tcPr>
          <w:p w14:paraId="0100E288" w14:textId="77777777" w:rsidR="00C84097" w:rsidRPr="00CF1906" w:rsidRDefault="00C84097" w:rsidP="00434364">
            <w:pPr>
              <w:jc w:val="both"/>
              <w:rPr>
                <w:rFonts w:ascii="Arial" w:hAnsi="Arial" w:cs="Arial"/>
                <w:b/>
                <w:color w:val="FFFFFF" w:themeColor="background1"/>
                <w:sz w:val="18"/>
                <w:szCs w:val="18"/>
              </w:rPr>
            </w:pPr>
            <w:r w:rsidRPr="00CF1906">
              <w:rPr>
                <w:rFonts w:ascii="Arial" w:hAnsi="Arial" w:cs="Arial"/>
                <w:b/>
                <w:color w:val="FFFFFF" w:themeColor="background1"/>
                <w:sz w:val="18"/>
                <w:szCs w:val="18"/>
              </w:rPr>
              <w:t>1 Year</w:t>
            </w:r>
          </w:p>
        </w:tc>
        <w:tc>
          <w:tcPr>
            <w:tcW w:w="1332" w:type="dxa"/>
            <w:shd w:val="clear" w:color="auto" w:fill="1D71B8"/>
          </w:tcPr>
          <w:p w14:paraId="19FF243F" w14:textId="77777777" w:rsidR="00C84097" w:rsidRPr="00CF1906" w:rsidRDefault="00C84097" w:rsidP="00434364">
            <w:pPr>
              <w:jc w:val="both"/>
              <w:rPr>
                <w:rFonts w:ascii="Arial" w:hAnsi="Arial" w:cs="Arial"/>
                <w:b/>
                <w:color w:val="FFFFFF" w:themeColor="background1"/>
                <w:sz w:val="18"/>
                <w:szCs w:val="18"/>
              </w:rPr>
            </w:pPr>
            <w:r w:rsidRPr="00CF1906">
              <w:rPr>
                <w:rFonts w:ascii="Arial" w:hAnsi="Arial" w:cs="Arial"/>
                <w:b/>
                <w:color w:val="FFFFFF" w:themeColor="background1"/>
                <w:sz w:val="18"/>
                <w:szCs w:val="18"/>
              </w:rPr>
              <w:t>3 Years p.a.</w:t>
            </w:r>
          </w:p>
        </w:tc>
        <w:tc>
          <w:tcPr>
            <w:tcW w:w="1333" w:type="dxa"/>
            <w:shd w:val="clear" w:color="auto" w:fill="1D71B8"/>
          </w:tcPr>
          <w:p w14:paraId="6C1E3823" w14:textId="77777777" w:rsidR="00C84097" w:rsidRPr="00CF1906" w:rsidRDefault="00C84097" w:rsidP="00434364">
            <w:pPr>
              <w:jc w:val="both"/>
              <w:rPr>
                <w:rFonts w:ascii="Arial" w:hAnsi="Arial" w:cs="Arial"/>
                <w:b/>
                <w:color w:val="FFFFFF" w:themeColor="background1"/>
                <w:sz w:val="18"/>
                <w:szCs w:val="18"/>
              </w:rPr>
            </w:pPr>
            <w:r w:rsidRPr="00CF1906">
              <w:rPr>
                <w:rFonts w:ascii="Arial" w:hAnsi="Arial" w:cs="Arial"/>
                <w:b/>
                <w:color w:val="FFFFFF" w:themeColor="background1"/>
                <w:sz w:val="18"/>
                <w:szCs w:val="18"/>
              </w:rPr>
              <w:t>5 Years p.a.</w:t>
            </w:r>
          </w:p>
        </w:tc>
      </w:tr>
      <w:tr w:rsidR="00C84097" w:rsidRPr="003A2624" w14:paraId="7CAA9DA6" w14:textId="77777777" w:rsidTr="00434364">
        <w:tc>
          <w:tcPr>
            <w:tcW w:w="3539" w:type="dxa"/>
          </w:tcPr>
          <w:p w14:paraId="1E74757C" w14:textId="77777777" w:rsidR="00C84097" w:rsidRPr="003A2624" w:rsidRDefault="00C84097" w:rsidP="00434364">
            <w:pPr>
              <w:jc w:val="both"/>
              <w:rPr>
                <w:rFonts w:ascii="Arial" w:hAnsi="Arial" w:cs="Arial"/>
                <w:color w:val="auto"/>
                <w:sz w:val="18"/>
                <w:szCs w:val="18"/>
              </w:rPr>
            </w:pPr>
            <w:r w:rsidRPr="003A2624">
              <w:rPr>
                <w:rFonts w:ascii="Arial" w:hAnsi="Arial" w:cs="Arial"/>
                <w:color w:val="auto"/>
                <w:sz w:val="18"/>
                <w:szCs w:val="18"/>
              </w:rPr>
              <w:t>S&amp;P/NZX 50 Index</w:t>
            </w:r>
          </w:p>
        </w:tc>
        <w:tc>
          <w:tcPr>
            <w:tcW w:w="1332" w:type="dxa"/>
          </w:tcPr>
          <w:p w14:paraId="74CBDAD4"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-0.6%</w:t>
            </w:r>
          </w:p>
        </w:tc>
        <w:tc>
          <w:tcPr>
            <w:tcW w:w="1332" w:type="dxa"/>
          </w:tcPr>
          <w:p w14:paraId="4B96ED7A"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3.0%</w:t>
            </w:r>
          </w:p>
        </w:tc>
        <w:tc>
          <w:tcPr>
            <w:tcW w:w="1333" w:type="dxa"/>
          </w:tcPr>
          <w:p w14:paraId="782141E6"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0.1%</w:t>
            </w:r>
          </w:p>
        </w:tc>
        <w:tc>
          <w:tcPr>
            <w:tcW w:w="1332" w:type="dxa"/>
          </w:tcPr>
          <w:p w14:paraId="2EEA19EE"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2.5%</w:t>
            </w:r>
          </w:p>
        </w:tc>
        <w:tc>
          <w:tcPr>
            <w:tcW w:w="1333" w:type="dxa"/>
          </w:tcPr>
          <w:p w14:paraId="65F17F39"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8.1%</w:t>
            </w:r>
          </w:p>
        </w:tc>
      </w:tr>
      <w:tr w:rsidR="00C84097" w:rsidRPr="003A2624" w14:paraId="2D3DC6DB" w14:textId="77777777" w:rsidTr="00434364">
        <w:tc>
          <w:tcPr>
            <w:tcW w:w="3539" w:type="dxa"/>
          </w:tcPr>
          <w:p w14:paraId="386ED162" w14:textId="77777777" w:rsidR="00C84097" w:rsidRPr="003A2624" w:rsidRDefault="00C84097" w:rsidP="00434364">
            <w:pPr>
              <w:jc w:val="both"/>
              <w:rPr>
                <w:rFonts w:ascii="Arial" w:hAnsi="Arial" w:cs="Arial"/>
                <w:color w:val="auto"/>
                <w:sz w:val="18"/>
                <w:szCs w:val="18"/>
              </w:rPr>
            </w:pPr>
            <w:r w:rsidRPr="003A2624">
              <w:rPr>
                <w:rFonts w:ascii="Arial" w:hAnsi="Arial" w:cs="Arial"/>
                <w:color w:val="auto"/>
                <w:sz w:val="18"/>
                <w:szCs w:val="18"/>
              </w:rPr>
              <w:t>S&amp;P/ASX 200 Accumulation Index (</w:t>
            </w:r>
            <w:r>
              <w:rPr>
                <w:rFonts w:ascii="Arial" w:hAnsi="Arial" w:cs="Arial"/>
                <w:color w:val="auto"/>
                <w:sz w:val="18"/>
                <w:szCs w:val="18"/>
              </w:rPr>
              <w:t>AUD</w:t>
            </w:r>
            <w:r w:rsidRPr="003A2624">
              <w:rPr>
                <w:rFonts w:ascii="Arial" w:hAnsi="Arial" w:cs="Arial"/>
                <w:color w:val="auto"/>
                <w:sz w:val="18"/>
                <w:szCs w:val="18"/>
              </w:rPr>
              <w:t>)</w:t>
            </w:r>
          </w:p>
        </w:tc>
        <w:tc>
          <w:tcPr>
            <w:tcW w:w="1332" w:type="dxa"/>
          </w:tcPr>
          <w:p w14:paraId="0E635B9F"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-2.4%</w:t>
            </w:r>
          </w:p>
        </w:tc>
        <w:tc>
          <w:tcPr>
            <w:tcW w:w="1332" w:type="dxa"/>
          </w:tcPr>
          <w:p w14:paraId="14BE8D06"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0.3%</w:t>
            </w:r>
          </w:p>
        </w:tc>
        <w:tc>
          <w:tcPr>
            <w:tcW w:w="1333" w:type="dxa"/>
          </w:tcPr>
          <w:p w14:paraId="6D34E3BD"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7.2%</w:t>
            </w:r>
          </w:p>
        </w:tc>
        <w:tc>
          <w:tcPr>
            <w:tcW w:w="1332" w:type="dxa"/>
          </w:tcPr>
          <w:p w14:paraId="2111AB38"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7.9%</w:t>
            </w:r>
          </w:p>
        </w:tc>
        <w:tc>
          <w:tcPr>
            <w:tcW w:w="1333" w:type="dxa"/>
          </w:tcPr>
          <w:p w14:paraId="3DE24A00"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7.9%</w:t>
            </w:r>
          </w:p>
        </w:tc>
      </w:tr>
      <w:tr w:rsidR="00C84097" w:rsidRPr="003A2624" w14:paraId="11783ABE" w14:textId="77777777" w:rsidTr="00434364">
        <w:tc>
          <w:tcPr>
            <w:tcW w:w="3539" w:type="dxa"/>
          </w:tcPr>
          <w:p w14:paraId="360285C4" w14:textId="77777777" w:rsidR="00C84097" w:rsidRPr="003A2624" w:rsidRDefault="00C84097" w:rsidP="00434364">
            <w:pPr>
              <w:jc w:val="both"/>
              <w:rPr>
                <w:rFonts w:ascii="Arial" w:hAnsi="Arial" w:cs="Arial"/>
                <w:color w:val="auto"/>
                <w:sz w:val="18"/>
                <w:szCs w:val="18"/>
              </w:rPr>
            </w:pPr>
            <w:r>
              <w:rPr>
                <w:rFonts w:ascii="Arial" w:hAnsi="Arial" w:cs="Arial"/>
                <w:color w:val="auto"/>
                <w:sz w:val="18"/>
                <w:szCs w:val="18"/>
              </w:rPr>
              <w:t>MSCI ACWI Index (Local Currency)</w:t>
            </w:r>
          </w:p>
        </w:tc>
        <w:tc>
          <w:tcPr>
            <w:tcW w:w="1332" w:type="dxa"/>
          </w:tcPr>
          <w:p w14:paraId="19D2919D"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-1.9%</w:t>
            </w:r>
          </w:p>
        </w:tc>
        <w:tc>
          <w:tcPr>
            <w:tcW w:w="1332" w:type="dxa"/>
          </w:tcPr>
          <w:p w14:paraId="3E28EC9B"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-0.5%</w:t>
            </w:r>
          </w:p>
        </w:tc>
        <w:tc>
          <w:tcPr>
            <w:tcW w:w="1333" w:type="dxa"/>
          </w:tcPr>
          <w:p w14:paraId="4309D578"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-5.5%</w:t>
            </w:r>
          </w:p>
        </w:tc>
        <w:tc>
          <w:tcPr>
            <w:tcW w:w="1332" w:type="dxa"/>
          </w:tcPr>
          <w:p w14:paraId="6B4F2A4B"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9.7%</w:t>
            </w:r>
          </w:p>
        </w:tc>
        <w:tc>
          <w:tcPr>
            <w:tcW w:w="1333" w:type="dxa"/>
          </w:tcPr>
          <w:p w14:paraId="571666F2"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7.1%</w:t>
            </w:r>
          </w:p>
        </w:tc>
      </w:tr>
      <w:tr w:rsidR="00C84097" w:rsidRPr="003A2624" w14:paraId="4C0B6BDC" w14:textId="77777777" w:rsidTr="00434364">
        <w:tc>
          <w:tcPr>
            <w:tcW w:w="3539" w:type="dxa"/>
          </w:tcPr>
          <w:p w14:paraId="4C7242EB" w14:textId="77777777" w:rsidR="00C84097" w:rsidRDefault="00C84097" w:rsidP="00434364">
            <w:pPr>
              <w:jc w:val="both"/>
              <w:rPr>
                <w:rFonts w:ascii="Arial" w:hAnsi="Arial" w:cs="Arial"/>
                <w:color w:val="auto"/>
                <w:sz w:val="18"/>
                <w:szCs w:val="18"/>
              </w:rPr>
            </w:pPr>
            <w:r>
              <w:rPr>
                <w:rFonts w:ascii="Arial" w:hAnsi="Arial" w:cs="Arial"/>
                <w:color w:val="auto"/>
                <w:sz w:val="18"/>
                <w:szCs w:val="18"/>
              </w:rPr>
              <w:t>MSCI ACWI Index (NZD)</w:t>
            </w:r>
          </w:p>
        </w:tc>
        <w:tc>
          <w:tcPr>
            <w:tcW w:w="1332" w:type="dxa"/>
          </w:tcPr>
          <w:p w14:paraId="567E1E8A"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1.1%</w:t>
            </w:r>
          </w:p>
        </w:tc>
        <w:tc>
          <w:tcPr>
            <w:tcW w:w="1332" w:type="dxa"/>
          </w:tcPr>
          <w:p w14:paraId="3F6686EC"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0.5%</w:t>
            </w:r>
          </w:p>
        </w:tc>
        <w:tc>
          <w:tcPr>
            <w:tcW w:w="1333" w:type="dxa"/>
          </w:tcPr>
          <w:p w14:paraId="5B52F010"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0.0%</w:t>
            </w:r>
          </w:p>
        </w:tc>
        <w:tc>
          <w:tcPr>
            <w:tcW w:w="1332" w:type="dxa"/>
          </w:tcPr>
          <w:p w14:paraId="17D077F9"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9.0%</w:t>
            </w:r>
          </w:p>
        </w:tc>
        <w:tc>
          <w:tcPr>
            <w:tcW w:w="1333" w:type="dxa"/>
          </w:tcPr>
          <w:p w14:paraId="33973CFC"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9.1%</w:t>
            </w:r>
          </w:p>
        </w:tc>
      </w:tr>
      <w:tr w:rsidR="00C84097" w:rsidRPr="003A2624" w14:paraId="632C58BA" w14:textId="77777777" w:rsidTr="00434364">
        <w:tc>
          <w:tcPr>
            <w:tcW w:w="3539" w:type="dxa"/>
          </w:tcPr>
          <w:p w14:paraId="6D35A85E" w14:textId="77777777" w:rsidR="00C84097" w:rsidRPr="003A2624" w:rsidRDefault="00C84097" w:rsidP="00434364">
            <w:pPr>
              <w:jc w:val="both"/>
              <w:rPr>
                <w:rFonts w:ascii="Arial" w:hAnsi="Arial" w:cs="Arial"/>
                <w:color w:val="auto"/>
                <w:sz w:val="18"/>
                <w:szCs w:val="18"/>
              </w:rPr>
            </w:pPr>
            <w:r>
              <w:rPr>
                <w:rFonts w:ascii="Arial" w:hAnsi="Arial" w:cs="Arial"/>
                <w:color w:val="auto"/>
                <w:sz w:val="18"/>
                <w:szCs w:val="18"/>
              </w:rPr>
              <w:t>S&amp;P/NZX 90 Day bank bill Total Return</w:t>
            </w:r>
          </w:p>
        </w:tc>
        <w:tc>
          <w:tcPr>
            <w:tcW w:w="1332" w:type="dxa"/>
          </w:tcPr>
          <w:p w14:paraId="3E8908FF"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0.4%</w:t>
            </w:r>
          </w:p>
        </w:tc>
        <w:tc>
          <w:tcPr>
            <w:tcW w:w="1332" w:type="dxa"/>
          </w:tcPr>
          <w:p w14:paraId="2A2AF960"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1.1%</w:t>
            </w:r>
          </w:p>
        </w:tc>
        <w:tc>
          <w:tcPr>
            <w:tcW w:w="1333" w:type="dxa"/>
          </w:tcPr>
          <w:p w14:paraId="4DADB071"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2.8%</w:t>
            </w:r>
          </w:p>
        </w:tc>
        <w:tc>
          <w:tcPr>
            <w:tcW w:w="1332" w:type="dxa"/>
          </w:tcPr>
          <w:p w14:paraId="1B56AD5A"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1.3%</w:t>
            </w:r>
          </w:p>
        </w:tc>
        <w:tc>
          <w:tcPr>
            <w:tcW w:w="1333" w:type="dxa"/>
          </w:tcPr>
          <w:p w14:paraId="6745286A" w14:textId="77777777" w:rsidR="00C84097" w:rsidRPr="003A2624" w:rsidRDefault="00C84097" w:rsidP="00434364">
            <w:pPr>
              <w:jc w:val="center"/>
              <w:rPr>
                <w:rFonts w:ascii="Arial" w:hAnsi="Arial" w:cs="Arial"/>
                <w:color w:val="auto"/>
                <w:sz w:val="18"/>
                <w:szCs w:val="18"/>
              </w:rPr>
            </w:pPr>
            <w:r>
              <w:rPr>
                <w:rFonts w:ascii="Arial" w:hAnsi="Arial" w:cs="Arial"/>
                <w:color w:val="auto"/>
                <w:sz w:val="18"/>
                <w:szCs w:val="18"/>
              </w:rPr>
              <w:t>1.5%</w:t>
            </w:r>
          </w:p>
        </w:tc>
      </w:tr>
    </w:tbl>
    <w:p w14:paraId="1F2ED785" w14:textId="58F0C724" w:rsidR="006323A7" w:rsidRDefault="006323A7" w:rsidP="00CF1906">
      <w:pPr>
        <w:rPr>
          <w:rFonts w:ascii="Arial" w:hAnsi="Arial" w:cs="Arial"/>
          <w:sz w:val="18"/>
          <w:szCs w:val="18"/>
        </w:rPr>
      </w:pPr>
    </w:p>
    <w:p w14:paraId="77931439" w14:textId="77777777" w:rsidR="001D6ADC" w:rsidRDefault="001D6ADC" w:rsidP="00C84097">
      <w:pPr>
        <w:spacing w:after="120"/>
        <w:ind w:right="-5808"/>
        <w:rPr>
          <w:rFonts w:ascii="Arial" w:hAnsi="Arial" w:cs="Arial"/>
          <w:b/>
          <w:color w:val="000000" w:themeColor="text1"/>
          <w:sz w:val="16"/>
          <w:szCs w:val="16"/>
        </w:rPr>
      </w:pPr>
    </w:p>
    <w:p w14:paraId="58598666" w14:textId="33E51CEA" w:rsidR="00AA09B4" w:rsidRDefault="00C84097" w:rsidP="00C84097">
      <w:pPr>
        <w:spacing w:after="120"/>
        <w:ind w:right="-5808"/>
        <w:rPr>
          <w:rFonts w:ascii="Arial" w:hAnsi="Arial" w:cs="Arial"/>
          <w:b/>
          <w:color w:val="000000" w:themeColor="text1"/>
          <w:sz w:val="18"/>
          <w:szCs w:val="18"/>
        </w:rPr>
      </w:pPr>
      <w:r w:rsidRPr="00764E45">
        <w:rPr>
          <w:rFonts w:ascii="Arial" w:hAnsi="Arial" w:cs="Arial"/>
          <w:b/>
          <w:color w:val="000000" w:themeColor="text1"/>
          <w:sz w:val="16"/>
          <w:szCs w:val="16"/>
        </w:rPr>
        <w:t>Additional information &amp; disclaimer</w:t>
      </w:r>
      <w:r w:rsidRPr="00764E45">
        <w:rPr>
          <w:rFonts w:ascii="Arial" w:hAnsi="Arial" w:cs="Arial"/>
          <w:b/>
          <w:color w:val="000000" w:themeColor="text1"/>
          <w:sz w:val="18"/>
          <w:szCs w:val="18"/>
        </w:rPr>
        <w:t xml:space="preserve">: </w:t>
      </w:r>
    </w:p>
    <w:p w14:paraId="6C9877D6" w14:textId="77777777" w:rsidR="00AA09B4" w:rsidRDefault="00C84097" w:rsidP="00C84097">
      <w:pPr>
        <w:spacing w:after="120"/>
        <w:ind w:right="-5808"/>
        <w:rPr>
          <w:rFonts w:ascii="Arial" w:hAnsi="Arial" w:cs="Arial"/>
          <w:bCs/>
          <w:color w:val="000000" w:themeColor="text1"/>
          <w:sz w:val="14"/>
          <w:szCs w:val="14"/>
        </w:rPr>
      </w:pPr>
      <w:r w:rsidRPr="00764E45">
        <w:rPr>
          <w:rFonts w:ascii="Arial" w:hAnsi="Arial" w:cs="Arial"/>
          <w:bCs/>
          <w:color w:val="000000" w:themeColor="text1"/>
          <w:sz w:val="14"/>
          <w:szCs w:val="14"/>
        </w:rPr>
        <w:t>This report is for information purposes only. It does not take into account your investment needs or personal circumstances, so it is not intended to be viewed as personalised</w:t>
      </w:r>
    </w:p>
    <w:p w14:paraId="1ECBEA16" w14:textId="303A45AE" w:rsidR="00764E45" w:rsidRPr="00764E45" w:rsidRDefault="00C84097" w:rsidP="00C84097">
      <w:pPr>
        <w:spacing w:after="120"/>
        <w:ind w:right="-5808"/>
        <w:rPr>
          <w:rFonts w:ascii="Arial" w:hAnsi="Arial" w:cs="Arial"/>
          <w:bCs/>
          <w:color w:val="000000" w:themeColor="text1"/>
          <w:sz w:val="14"/>
          <w:szCs w:val="14"/>
        </w:rPr>
      </w:pPr>
      <w:r w:rsidRPr="00764E45">
        <w:rPr>
          <w:rFonts w:ascii="Arial" w:hAnsi="Arial" w:cs="Arial"/>
          <w:bCs/>
          <w:color w:val="000000" w:themeColor="text1"/>
          <w:sz w:val="14"/>
          <w:szCs w:val="14"/>
        </w:rPr>
        <w:t xml:space="preserve">investment or financial advice. If you require financial advice, you should always speak to your financial adviser. </w:t>
      </w:r>
    </w:p>
    <w:p w14:paraId="248A71E2" w14:textId="77777777" w:rsidR="00764E45" w:rsidRPr="00764E45" w:rsidRDefault="00C84097" w:rsidP="00C84097">
      <w:pPr>
        <w:spacing w:after="120"/>
        <w:ind w:right="-5808"/>
        <w:rPr>
          <w:rFonts w:ascii="Arial" w:hAnsi="Arial" w:cs="Arial"/>
          <w:color w:val="000000" w:themeColor="text1"/>
          <w:sz w:val="14"/>
          <w:szCs w:val="14"/>
        </w:rPr>
      </w:pPr>
      <w:r w:rsidRPr="00764E45">
        <w:rPr>
          <w:rFonts w:ascii="Arial" w:hAnsi="Arial" w:cs="Arial"/>
          <w:color w:val="000000" w:themeColor="text1"/>
          <w:sz w:val="14"/>
          <w:szCs w:val="14"/>
        </w:rPr>
        <w:t xml:space="preserve">The price, value and income derived from investments may fluctuate because values can go down as well as up and investors may get back less than originally invested. </w:t>
      </w:r>
    </w:p>
    <w:p w14:paraId="69B0AFC3" w14:textId="77777777" w:rsidR="00764E45" w:rsidRDefault="00C84097" w:rsidP="00C84097">
      <w:pPr>
        <w:spacing w:after="120"/>
        <w:ind w:right="-5808"/>
        <w:rPr>
          <w:rFonts w:ascii="Arial" w:hAnsi="Arial" w:cs="Arial"/>
          <w:color w:val="000000" w:themeColor="text1"/>
          <w:sz w:val="14"/>
          <w:szCs w:val="14"/>
        </w:rPr>
      </w:pPr>
      <w:r w:rsidRPr="00764E45">
        <w:rPr>
          <w:rFonts w:ascii="Arial" w:hAnsi="Arial" w:cs="Arial"/>
          <w:color w:val="000000" w:themeColor="text1"/>
          <w:sz w:val="14"/>
          <w:szCs w:val="14"/>
        </w:rPr>
        <w:t xml:space="preserve">Past performance is not indicative of future results and no representation or warranty, express or implied, is made regarding future performance. </w:t>
      </w:r>
    </w:p>
    <w:p w14:paraId="568B644E" w14:textId="3A53C3F3" w:rsidR="00764E45" w:rsidRPr="00764E45" w:rsidRDefault="00C84097" w:rsidP="00C84097">
      <w:pPr>
        <w:spacing w:after="120"/>
        <w:ind w:right="-5808"/>
        <w:rPr>
          <w:rFonts w:ascii="Arial" w:hAnsi="Arial" w:cs="Arial"/>
          <w:color w:val="000000" w:themeColor="text1"/>
          <w:sz w:val="14"/>
          <w:szCs w:val="14"/>
        </w:rPr>
      </w:pPr>
      <w:r w:rsidRPr="00764E45">
        <w:rPr>
          <w:rFonts w:ascii="Arial" w:hAnsi="Arial" w:cs="Arial"/>
          <w:color w:val="000000" w:themeColor="text1"/>
          <w:sz w:val="14"/>
          <w:szCs w:val="14"/>
        </w:rPr>
        <w:t xml:space="preserve">This report has been prepared from published information and other sources believed to be reliable and accurate. </w:t>
      </w:r>
    </w:p>
    <w:p w14:paraId="6CC43451" w14:textId="77777777" w:rsidR="00764E45" w:rsidRDefault="00C84097" w:rsidP="00C84097">
      <w:pPr>
        <w:spacing w:after="120"/>
        <w:ind w:right="-5808"/>
        <w:rPr>
          <w:rFonts w:ascii="Arial" w:hAnsi="Arial" w:cs="Arial"/>
          <w:bCs/>
          <w:color w:val="000000" w:themeColor="text1"/>
          <w:sz w:val="14"/>
          <w:szCs w:val="14"/>
        </w:rPr>
      </w:pPr>
      <w:r w:rsidRPr="00764E45">
        <w:rPr>
          <w:rFonts w:ascii="Arial" w:hAnsi="Arial" w:cs="Arial"/>
          <w:bCs/>
          <w:color w:val="000000" w:themeColor="text1"/>
          <w:sz w:val="14"/>
          <w:szCs w:val="14"/>
        </w:rPr>
        <w:t xml:space="preserve">While every effort has been made to ensure accuracy Thorner Investment Services Ltd, JMI Wealth nor any person involved in this publication accept any liability for any </w:t>
      </w:r>
      <w:proofErr w:type="gramStart"/>
      <w:r w:rsidRPr="00764E45">
        <w:rPr>
          <w:rFonts w:ascii="Arial" w:hAnsi="Arial" w:cs="Arial"/>
          <w:bCs/>
          <w:color w:val="000000" w:themeColor="text1"/>
          <w:sz w:val="14"/>
          <w:szCs w:val="14"/>
        </w:rPr>
        <w:t>errors</w:t>
      </w:r>
      <w:proofErr w:type="gramEnd"/>
      <w:r w:rsidRPr="00764E45">
        <w:rPr>
          <w:rFonts w:ascii="Arial" w:hAnsi="Arial" w:cs="Arial"/>
          <w:bCs/>
          <w:color w:val="000000" w:themeColor="text1"/>
          <w:sz w:val="14"/>
          <w:szCs w:val="14"/>
        </w:rPr>
        <w:t xml:space="preserve"> </w:t>
      </w:r>
    </w:p>
    <w:p w14:paraId="4CC0D4A3" w14:textId="1CAA5B9E" w:rsidR="00764E45" w:rsidRDefault="00C84097" w:rsidP="00C84097">
      <w:pPr>
        <w:spacing w:after="120"/>
        <w:ind w:right="-5808"/>
        <w:rPr>
          <w:rFonts w:ascii="Arial" w:hAnsi="Arial" w:cs="Arial"/>
          <w:bCs/>
          <w:color w:val="000000" w:themeColor="text1"/>
          <w:sz w:val="14"/>
          <w:szCs w:val="14"/>
        </w:rPr>
      </w:pPr>
      <w:r w:rsidRPr="00764E45">
        <w:rPr>
          <w:rFonts w:ascii="Arial" w:hAnsi="Arial" w:cs="Arial"/>
          <w:bCs/>
          <w:color w:val="000000" w:themeColor="text1"/>
          <w:sz w:val="14"/>
          <w:szCs w:val="14"/>
        </w:rPr>
        <w:t>or omissions</w:t>
      </w:r>
      <w:r w:rsidR="00764E45">
        <w:rPr>
          <w:rFonts w:ascii="Arial" w:hAnsi="Arial" w:cs="Arial"/>
          <w:bCs/>
          <w:color w:val="000000" w:themeColor="text1"/>
          <w:sz w:val="14"/>
          <w:szCs w:val="14"/>
        </w:rPr>
        <w:t xml:space="preserve"> </w:t>
      </w:r>
      <w:r w:rsidRPr="00764E45">
        <w:rPr>
          <w:rFonts w:ascii="Arial" w:hAnsi="Arial" w:cs="Arial"/>
          <w:bCs/>
          <w:color w:val="000000" w:themeColor="text1"/>
          <w:sz w:val="14"/>
          <w:szCs w:val="14"/>
        </w:rPr>
        <w:t xml:space="preserve">nor accepts any liability for loss or damage </w:t>
      </w:r>
      <w:proofErr w:type="gramStart"/>
      <w:r w:rsidRPr="00764E45">
        <w:rPr>
          <w:rFonts w:ascii="Arial" w:hAnsi="Arial" w:cs="Arial"/>
          <w:bCs/>
          <w:color w:val="000000" w:themeColor="text1"/>
          <w:sz w:val="14"/>
          <w:szCs w:val="14"/>
        </w:rPr>
        <w:t>as a result of</w:t>
      </w:r>
      <w:proofErr w:type="gramEnd"/>
      <w:r w:rsidRPr="00764E45">
        <w:rPr>
          <w:rFonts w:ascii="Arial" w:hAnsi="Arial" w:cs="Arial"/>
          <w:bCs/>
          <w:color w:val="000000" w:themeColor="text1"/>
          <w:sz w:val="14"/>
          <w:szCs w:val="14"/>
        </w:rPr>
        <w:t xml:space="preserve"> any reliance on the information presented. </w:t>
      </w:r>
    </w:p>
    <w:p w14:paraId="174954F0" w14:textId="561DB54B" w:rsidR="00C84097" w:rsidRPr="00764E45" w:rsidRDefault="00C84097" w:rsidP="00C84097">
      <w:pPr>
        <w:spacing w:after="120"/>
        <w:ind w:right="-5808"/>
        <w:rPr>
          <w:rFonts w:ascii="Arial" w:hAnsi="Arial" w:cs="Arial"/>
          <w:bCs/>
          <w:color w:val="000000" w:themeColor="text1"/>
          <w:sz w:val="14"/>
          <w:szCs w:val="14"/>
        </w:rPr>
      </w:pPr>
      <w:r w:rsidRPr="00764E45">
        <w:rPr>
          <w:rFonts w:ascii="Arial" w:hAnsi="Arial" w:cs="Arial"/>
          <w:bCs/>
          <w:color w:val="000000" w:themeColor="text1"/>
          <w:sz w:val="14"/>
          <w:szCs w:val="14"/>
        </w:rPr>
        <w:t>Disclosure statements are available on request and free of charge.</w:t>
      </w:r>
    </w:p>
    <w:p w14:paraId="0BBF8DBA" w14:textId="4EACBFC2" w:rsidR="00661B74" w:rsidRDefault="00661B74" w:rsidP="00C84097">
      <w:pPr>
        <w:ind w:right="-428"/>
        <w:rPr>
          <w:rFonts w:ascii="Arial" w:hAnsi="Arial" w:cs="Arial"/>
          <w:sz w:val="18"/>
          <w:szCs w:val="18"/>
        </w:rPr>
      </w:pPr>
    </w:p>
    <w:p w14:paraId="54454F3D" w14:textId="01FDC83B" w:rsidR="00661B74" w:rsidRDefault="00661B74" w:rsidP="00CF1906">
      <w:pPr>
        <w:rPr>
          <w:rFonts w:ascii="Arial" w:hAnsi="Arial" w:cs="Arial"/>
          <w:sz w:val="18"/>
          <w:szCs w:val="18"/>
        </w:rPr>
      </w:pPr>
    </w:p>
    <w:p w14:paraId="544E2CAD" w14:textId="4C8CF592" w:rsidR="006323A7" w:rsidRPr="006323A7" w:rsidRDefault="006323A7" w:rsidP="00CF1906">
      <w:pPr>
        <w:rPr>
          <w:rFonts w:ascii="Arial" w:hAnsi="Arial" w:cs="Arial"/>
          <w:sz w:val="18"/>
          <w:szCs w:val="18"/>
        </w:rPr>
        <w:sectPr w:rsidR="006323A7" w:rsidRPr="006323A7" w:rsidSect="006323A7">
          <w:headerReference w:type="default" r:id="rId7"/>
          <w:type w:val="continuous"/>
          <w:pgSz w:w="11906" w:h="16838"/>
          <w:pgMar w:top="1418" w:right="851" w:bottom="1701" w:left="851" w:header="709" w:footer="851" w:gutter="0"/>
          <w:cols w:space="340"/>
          <w:docGrid w:linePitch="360"/>
        </w:sectPr>
      </w:pPr>
      <w:r>
        <w:rPr>
          <w:rFonts w:ascii="GTSectra-Book" w:hAnsi="GTSectra-Book"/>
          <w:color w:val="435060"/>
          <w:sz w:val="18"/>
          <w:szCs w:val="18"/>
        </w:rPr>
        <w:br/>
      </w:r>
    </w:p>
    <w:p w14:paraId="3B555AC0" w14:textId="77777777" w:rsidR="00CF1906" w:rsidRPr="004126F8" w:rsidRDefault="000F13F6" w:rsidP="00CF1906">
      <w:pPr>
        <w:rPr>
          <w:rFonts w:ascii="Arial" w:hAnsi="Arial" w:cs="Arial"/>
          <w:sz w:val="18"/>
          <w:szCs w:val="18"/>
        </w:rPr>
      </w:pPr>
      <w:r w:rsidRPr="004126F8">
        <w:rPr>
          <w:rFonts w:ascii="Arial" w:hAnsi="Arial" w:cs="Arial"/>
          <w:sz w:val="18"/>
          <w:szCs w:val="18"/>
        </w:rPr>
        <w:br w:type="column"/>
      </w:r>
    </w:p>
    <w:p w14:paraId="54875CC1" w14:textId="77777777" w:rsidR="00BC0A67" w:rsidRDefault="00BC0A67" w:rsidP="00526B27">
      <w:pPr>
        <w:sectPr w:rsidR="00BC0A67" w:rsidSect="00FD2D44">
          <w:type w:val="continuous"/>
          <w:pgSz w:w="11906" w:h="16838"/>
          <w:pgMar w:top="1418" w:right="851" w:bottom="1701" w:left="851" w:header="709" w:footer="851" w:gutter="0"/>
          <w:cols w:num="2" w:space="340"/>
          <w:docGrid w:linePitch="360"/>
        </w:sectPr>
      </w:pPr>
    </w:p>
    <w:p w14:paraId="492E49C4" w14:textId="77777777" w:rsidR="00CF1906" w:rsidRDefault="00CF1906" w:rsidP="00CF1906">
      <w:pPr>
        <w:jc w:val="both"/>
        <w:rPr>
          <w:rFonts w:ascii="Arial" w:hAnsi="Arial" w:cs="Arial"/>
          <w:b/>
          <w:color w:val="1D71B8"/>
          <w:sz w:val="18"/>
          <w:szCs w:val="18"/>
        </w:rPr>
      </w:pPr>
    </w:p>
    <w:p w14:paraId="0FD0B893" w14:textId="77777777" w:rsidR="00CF1906" w:rsidRDefault="00CF1906" w:rsidP="00CF1906">
      <w:pPr>
        <w:jc w:val="both"/>
        <w:rPr>
          <w:rFonts w:ascii="Arial" w:hAnsi="Arial" w:cs="Arial"/>
          <w:b/>
          <w:color w:val="1D71B8"/>
          <w:sz w:val="18"/>
          <w:szCs w:val="18"/>
        </w:rPr>
      </w:pPr>
    </w:p>
    <w:sectPr w:rsidR="00CF1906" w:rsidSect="00FD2D44">
      <w:type w:val="continuous"/>
      <w:pgSz w:w="11906" w:h="16838"/>
      <w:pgMar w:top="1418" w:right="851" w:bottom="1701" w:left="851" w:header="709"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7BE1" w14:textId="77777777" w:rsidR="006B4FC9" w:rsidRDefault="006B4FC9" w:rsidP="00DE450B">
      <w:r>
        <w:separator/>
      </w:r>
    </w:p>
  </w:endnote>
  <w:endnote w:type="continuationSeparator" w:id="0">
    <w:p w14:paraId="2F512788" w14:textId="77777777" w:rsidR="006B4FC9" w:rsidRDefault="006B4FC9" w:rsidP="00DE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Sectra-Book">
    <w:altName w:val="Calibri"/>
    <w:charset w:val="00"/>
    <w:family w:val="auto"/>
    <w:pitch w:val="variable"/>
    <w:sig w:usb0="A00000AF" w:usb1="5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TSectra-Black">
    <w:altName w:val="Calibri"/>
    <w:charset w:val="00"/>
    <w:family w:val="auto"/>
    <w:pitch w:val="variable"/>
    <w:sig w:usb0="A00000AF" w:usb1="5000206B" w:usb2="00000000" w:usb3="00000000" w:csb0="00000093" w:csb1="00000000"/>
  </w:font>
  <w:font w:name="GTSectra-Bold">
    <w:altName w:val="Calibri"/>
    <w:charset w:val="00"/>
    <w:family w:val="auto"/>
    <w:pitch w:val="variable"/>
    <w:sig w:usb0="A00000AF" w:usb1="5000206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C98F" w14:textId="77777777" w:rsidR="006B4FC9" w:rsidRDefault="006B4FC9" w:rsidP="00DE450B">
      <w:r>
        <w:separator/>
      </w:r>
    </w:p>
  </w:footnote>
  <w:footnote w:type="continuationSeparator" w:id="0">
    <w:p w14:paraId="60A53CE2" w14:textId="77777777" w:rsidR="006B4FC9" w:rsidRDefault="006B4FC9" w:rsidP="00DE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C3D3" w14:textId="77777777" w:rsidR="00420AE9" w:rsidRPr="009D344A" w:rsidRDefault="00420AE9" w:rsidP="00420AE9">
    <w:pPr>
      <w:ind w:left="5040" w:firstLine="720"/>
      <w:jc w:val="center"/>
      <w:rPr>
        <w:rFonts w:ascii="Arial" w:hAnsi="Arial" w:cs="Arial"/>
        <w:b/>
        <w:color w:val="FF0000"/>
        <w:sz w:val="32"/>
        <w:szCs w:val="32"/>
      </w:rPr>
    </w:pPr>
    <w:r w:rsidRPr="00570381">
      <w:rPr>
        <w:b/>
        <w:noProof/>
        <w:color w:val="1D71B8"/>
        <w:sz w:val="32"/>
        <w:szCs w:val="32"/>
      </w:rPr>
      <mc:AlternateContent>
        <mc:Choice Requires="wps">
          <w:drawing>
            <wp:anchor distT="0" distB="0" distL="114300" distR="114300" simplePos="0" relativeHeight="251660288" behindDoc="0" locked="0" layoutInCell="1" allowOverlap="1" wp14:anchorId="154EFECE" wp14:editId="1291D8C4">
              <wp:simplePos x="0" y="0"/>
              <wp:positionH relativeFrom="margin">
                <wp:posOffset>4095750</wp:posOffset>
              </wp:positionH>
              <wp:positionV relativeFrom="paragraph">
                <wp:posOffset>-229235</wp:posOffset>
              </wp:positionV>
              <wp:extent cx="2476500" cy="628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0" cy="6286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1BED662" w14:textId="737A3783" w:rsidR="00420AE9" w:rsidRPr="009D344A" w:rsidRDefault="00C84097" w:rsidP="00420AE9">
                          <w:pPr>
                            <w:jc w:val="center"/>
                            <w:rPr>
                              <w:rFonts w:ascii="Arial" w:hAnsi="Arial" w:cs="Arial"/>
                              <w:b/>
                              <w:color w:val="FF0000"/>
                              <w:sz w:val="32"/>
                              <w:szCs w:val="32"/>
                            </w:rPr>
                          </w:pPr>
                          <w:r w:rsidRPr="0011291C">
                            <w:rPr>
                              <w:noProof/>
                            </w:rPr>
                            <w:drawing>
                              <wp:inline distT="0" distB="0" distL="0" distR="0" wp14:anchorId="32B087E3" wp14:editId="5401F0D8">
                                <wp:extent cx="1905000" cy="466725"/>
                                <wp:effectExtent l="0" t="0" r="0" b="9525"/>
                                <wp:docPr id="3" name="Picture 3" descr="Thorners - Final logo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rners - Final logo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EFECE" id="Rectangle 4" o:spid="_x0000_s1026" style="position:absolute;left:0;text-align:left;margin-left:322.5pt;margin-top:-18.05pt;width:195pt;height:4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" fillcolor="window" strokecolor="windowText" strokeweight=".25pt">
              <v:textbox>
                <w:txbxContent>
                  <w:p w14:paraId="41BED662" w14:textId="737A3783" w:rsidR="00420AE9" w:rsidRPr="009D344A" w:rsidRDefault="00C84097" w:rsidP="00420AE9">
                    <w:pPr>
                      <w:jc w:val="center"/>
                      <w:rPr>
                        <w:rFonts w:ascii="Arial" w:hAnsi="Arial" w:cs="Arial"/>
                        <w:b/>
                        <w:color w:val="FF0000"/>
                        <w:sz w:val="32"/>
                        <w:szCs w:val="32"/>
                      </w:rPr>
                    </w:pPr>
                    <w:r w:rsidRPr="0011291C">
                      <w:rPr>
                        <w:noProof/>
                      </w:rPr>
                      <w:drawing>
                        <wp:inline distT="0" distB="0" distL="0" distR="0" wp14:anchorId="32B087E3" wp14:editId="5401F0D8">
                          <wp:extent cx="1905000" cy="466725"/>
                          <wp:effectExtent l="0" t="0" r="0" b="9525"/>
                          <wp:docPr id="3" name="Picture 3" descr="Thorners - Final logo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rners - Final logo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xbxContent>
              </v:textbox>
              <w10:wrap anchorx="margin"/>
            </v:rect>
          </w:pict>
        </mc:Fallback>
      </mc:AlternateContent>
    </w:r>
  </w:p>
  <w:p w14:paraId="4DA52754" w14:textId="77777777" w:rsidR="00DE450B" w:rsidRDefault="004126F8">
    <w:pPr>
      <w:pStyle w:val="Header"/>
    </w:pPr>
    <w:r>
      <w:rPr>
        <w:noProof/>
        <w:lang w:eastAsia="en-NZ"/>
      </w:rPr>
      <w:drawing>
        <wp:anchor distT="0" distB="0" distL="114300" distR="114300" simplePos="0" relativeHeight="251658240" behindDoc="1" locked="0" layoutInCell="1" allowOverlap="1" wp14:anchorId="003585F6" wp14:editId="2060EF08">
          <wp:simplePos x="0" y="0"/>
          <wp:positionH relativeFrom="column">
            <wp:posOffset>-102234</wp:posOffset>
          </wp:positionH>
          <wp:positionV relativeFrom="page">
            <wp:posOffset>333376</wp:posOffset>
          </wp:positionV>
          <wp:extent cx="1790700" cy="5392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IWealth_MidBlue.png"/>
                  <pic:cNvPicPr/>
                </pic:nvPicPr>
                <pic:blipFill>
                  <a:blip r:embed="rId2">
                    <a:extLst>
                      <a:ext uri="{28A0092B-C50C-407E-A947-70E740481C1C}">
                        <a14:useLocalDpi xmlns:a14="http://schemas.microsoft.com/office/drawing/2010/main" val="0"/>
                      </a:ext>
                    </a:extLst>
                  </a:blip>
                  <a:stretch>
                    <a:fillRect/>
                  </a:stretch>
                </pic:blipFill>
                <pic:spPr>
                  <a:xfrm>
                    <a:off x="0" y="0"/>
                    <a:ext cx="1800283" cy="5420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F6"/>
    <w:rsid w:val="000214D3"/>
    <w:rsid w:val="00074FD2"/>
    <w:rsid w:val="000A46E6"/>
    <w:rsid w:val="000F13F6"/>
    <w:rsid w:val="001033C1"/>
    <w:rsid w:val="00153539"/>
    <w:rsid w:val="001D3DE8"/>
    <w:rsid w:val="001D6ADC"/>
    <w:rsid w:val="00254F65"/>
    <w:rsid w:val="00260C9E"/>
    <w:rsid w:val="002D4436"/>
    <w:rsid w:val="00320E0A"/>
    <w:rsid w:val="003407E7"/>
    <w:rsid w:val="003779CA"/>
    <w:rsid w:val="003A701B"/>
    <w:rsid w:val="003B05E9"/>
    <w:rsid w:val="004126F8"/>
    <w:rsid w:val="00420AE9"/>
    <w:rsid w:val="004660D0"/>
    <w:rsid w:val="004A7D27"/>
    <w:rsid w:val="004E6477"/>
    <w:rsid w:val="00526B27"/>
    <w:rsid w:val="005952DB"/>
    <w:rsid w:val="006323A7"/>
    <w:rsid w:val="006460B5"/>
    <w:rsid w:val="00661B74"/>
    <w:rsid w:val="006B4FC9"/>
    <w:rsid w:val="007440A8"/>
    <w:rsid w:val="00746EEF"/>
    <w:rsid w:val="00764E45"/>
    <w:rsid w:val="007B7ED5"/>
    <w:rsid w:val="007C276F"/>
    <w:rsid w:val="00815062"/>
    <w:rsid w:val="008429AC"/>
    <w:rsid w:val="00850463"/>
    <w:rsid w:val="008D1C34"/>
    <w:rsid w:val="008E0AC9"/>
    <w:rsid w:val="008E49F0"/>
    <w:rsid w:val="00917066"/>
    <w:rsid w:val="0092391E"/>
    <w:rsid w:val="009B3C9B"/>
    <w:rsid w:val="00A7210B"/>
    <w:rsid w:val="00A9723D"/>
    <w:rsid w:val="00AA09B4"/>
    <w:rsid w:val="00AB4466"/>
    <w:rsid w:val="00AE2B4D"/>
    <w:rsid w:val="00AF232A"/>
    <w:rsid w:val="00B80D17"/>
    <w:rsid w:val="00BA36FD"/>
    <w:rsid w:val="00BA6F7F"/>
    <w:rsid w:val="00BB76FE"/>
    <w:rsid w:val="00BC0A67"/>
    <w:rsid w:val="00C06C9B"/>
    <w:rsid w:val="00C84097"/>
    <w:rsid w:val="00C9641C"/>
    <w:rsid w:val="00CB2C01"/>
    <w:rsid w:val="00CB46FD"/>
    <w:rsid w:val="00CE66BB"/>
    <w:rsid w:val="00CF1906"/>
    <w:rsid w:val="00D324F5"/>
    <w:rsid w:val="00D44CED"/>
    <w:rsid w:val="00D50677"/>
    <w:rsid w:val="00DA28A8"/>
    <w:rsid w:val="00DC05CF"/>
    <w:rsid w:val="00DE450B"/>
    <w:rsid w:val="00E03E34"/>
    <w:rsid w:val="00E45811"/>
    <w:rsid w:val="00E603BC"/>
    <w:rsid w:val="00E66AE6"/>
    <w:rsid w:val="00E67376"/>
    <w:rsid w:val="00E67A30"/>
    <w:rsid w:val="00EF1012"/>
    <w:rsid w:val="00F50434"/>
    <w:rsid w:val="00F62EE6"/>
    <w:rsid w:val="00F95F8F"/>
    <w:rsid w:val="00F97737"/>
    <w:rsid w:val="00FD2D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1D071"/>
  <w15:chartTrackingRefBased/>
  <w15:docId w15:val="{56624B3F-0A66-4ECE-B72A-34E3068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4D"/>
    <w:pPr>
      <w:spacing w:before="60" w:after="60" w:line="240" w:lineRule="auto"/>
    </w:pPr>
    <w:rPr>
      <w:color w:val="435060" w:themeColor="text2"/>
      <w:sz w:val="17"/>
    </w:rPr>
  </w:style>
  <w:style w:type="paragraph" w:styleId="Heading1">
    <w:name w:val="heading 1"/>
    <w:basedOn w:val="Heading2"/>
    <w:next w:val="Normal"/>
    <w:link w:val="Heading1Char"/>
    <w:uiPriority w:val="9"/>
    <w:qFormat/>
    <w:rsid w:val="00D324F5"/>
    <w:pPr>
      <w:outlineLvl w:val="0"/>
    </w:pPr>
    <w:rPr>
      <w:lang w:val="en-US"/>
    </w:rPr>
  </w:style>
  <w:style w:type="paragraph" w:styleId="Heading2">
    <w:name w:val="heading 2"/>
    <w:basedOn w:val="Normal"/>
    <w:next w:val="Normal"/>
    <w:link w:val="Heading2Char"/>
    <w:uiPriority w:val="9"/>
    <w:unhideWhenUsed/>
    <w:rsid w:val="00526B27"/>
    <w:pPr>
      <w:keepNext/>
      <w:keepLines/>
      <w:outlineLvl w:val="1"/>
    </w:pPr>
    <w:rPr>
      <w:rFonts w:asciiTheme="majorHAnsi" w:eastAsiaTheme="majorEastAsia" w:hAnsiTheme="majorHAnsi" w:cstheme="majorBidi"/>
      <w:sz w:val="20"/>
      <w:szCs w:val="26"/>
    </w:rPr>
  </w:style>
  <w:style w:type="paragraph" w:styleId="Heading3">
    <w:name w:val="heading 3"/>
    <w:basedOn w:val="Heading2"/>
    <w:next w:val="Normal"/>
    <w:link w:val="Heading3Char"/>
    <w:uiPriority w:val="9"/>
    <w:unhideWhenUsed/>
    <w:rsid w:val="00526B2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4F5"/>
    <w:rPr>
      <w:rFonts w:asciiTheme="majorHAnsi" w:eastAsiaTheme="majorEastAsia" w:hAnsiTheme="majorHAnsi" w:cstheme="majorBidi"/>
      <w:color w:val="435060" w:themeColor="text2"/>
      <w:sz w:val="20"/>
      <w:szCs w:val="26"/>
      <w:lang w:val="en-US"/>
    </w:rPr>
  </w:style>
  <w:style w:type="character" w:customStyle="1" w:styleId="Heading2Char">
    <w:name w:val="Heading 2 Char"/>
    <w:basedOn w:val="DefaultParagraphFont"/>
    <w:link w:val="Heading2"/>
    <w:uiPriority w:val="9"/>
    <w:rsid w:val="00526B27"/>
    <w:rPr>
      <w:rFonts w:asciiTheme="majorHAnsi" w:eastAsiaTheme="majorEastAsia" w:hAnsiTheme="majorHAnsi" w:cstheme="majorBidi"/>
      <w:color w:val="435060" w:themeColor="text2"/>
      <w:sz w:val="20"/>
      <w:szCs w:val="26"/>
    </w:rPr>
  </w:style>
  <w:style w:type="paragraph" w:styleId="Header">
    <w:name w:val="header"/>
    <w:basedOn w:val="Normal"/>
    <w:link w:val="HeaderChar"/>
    <w:uiPriority w:val="99"/>
    <w:unhideWhenUsed/>
    <w:rsid w:val="00DE450B"/>
    <w:pPr>
      <w:tabs>
        <w:tab w:val="center" w:pos="4513"/>
        <w:tab w:val="right" w:pos="9026"/>
      </w:tabs>
    </w:pPr>
  </w:style>
  <w:style w:type="character" w:customStyle="1" w:styleId="HeaderChar">
    <w:name w:val="Header Char"/>
    <w:basedOn w:val="DefaultParagraphFont"/>
    <w:link w:val="Header"/>
    <w:uiPriority w:val="99"/>
    <w:rsid w:val="00DE450B"/>
    <w:rPr>
      <w:color w:val="435060" w:themeColor="text2"/>
      <w:sz w:val="18"/>
    </w:rPr>
  </w:style>
  <w:style w:type="paragraph" w:styleId="Footer">
    <w:name w:val="footer"/>
    <w:basedOn w:val="Normal"/>
    <w:link w:val="FooterChar"/>
    <w:uiPriority w:val="99"/>
    <w:unhideWhenUsed/>
    <w:rsid w:val="00D324F5"/>
    <w:pPr>
      <w:tabs>
        <w:tab w:val="center" w:pos="4513"/>
        <w:tab w:val="right" w:pos="9026"/>
      </w:tabs>
      <w:jc w:val="both"/>
    </w:pPr>
    <w:rPr>
      <w:sz w:val="12"/>
      <w:szCs w:val="12"/>
    </w:rPr>
  </w:style>
  <w:style w:type="character" w:customStyle="1" w:styleId="FooterChar">
    <w:name w:val="Footer Char"/>
    <w:basedOn w:val="DefaultParagraphFont"/>
    <w:link w:val="Footer"/>
    <w:uiPriority w:val="99"/>
    <w:rsid w:val="00D324F5"/>
    <w:rPr>
      <w:color w:val="435060" w:themeColor="text2"/>
      <w:sz w:val="12"/>
      <w:szCs w:val="12"/>
    </w:rPr>
  </w:style>
  <w:style w:type="paragraph" w:styleId="Title">
    <w:name w:val="Title"/>
    <w:basedOn w:val="Heading1"/>
    <w:next w:val="Normal"/>
    <w:link w:val="TitleChar"/>
    <w:uiPriority w:val="10"/>
    <w:qFormat/>
    <w:rsid w:val="00526B27"/>
    <w:rPr>
      <w:sz w:val="40"/>
      <w:szCs w:val="40"/>
    </w:rPr>
  </w:style>
  <w:style w:type="character" w:customStyle="1" w:styleId="TitleChar">
    <w:name w:val="Title Char"/>
    <w:basedOn w:val="DefaultParagraphFont"/>
    <w:link w:val="Title"/>
    <w:uiPriority w:val="10"/>
    <w:rsid w:val="00526B27"/>
    <w:rPr>
      <w:rFonts w:asciiTheme="majorHAnsi" w:eastAsiaTheme="majorEastAsia" w:hAnsiTheme="majorHAnsi" w:cstheme="majorBidi"/>
      <w:color w:val="435060" w:themeColor="text2"/>
      <w:sz w:val="40"/>
      <w:szCs w:val="40"/>
    </w:rPr>
  </w:style>
  <w:style w:type="paragraph" w:styleId="Subtitle">
    <w:name w:val="Subtitle"/>
    <w:basedOn w:val="Normal"/>
    <w:next w:val="Normal"/>
    <w:link w:val="SubtitleChar"/>
    <w:uiPriority w:val="11"/>
    <w:qFormat/>
    <w:rsid w:val="00526B27"/>
    <w:rPr>
      <w:sz w:val="26"/>
      <w:szCs w:val="26"/>
    </w:rPr>
  </w:style>
  <w:style w:type="character" w:customStyle="1" w:styleId="SubtitleChar">
    <w:name w:val="Subtitle Char"/>
    <w:basedOn w:val="DefaultParagraphFont"/>
    <w:link w:val="Subtitle"/>
    <w:uiPriority w:val="11"/>
    <w:rsid w:val="00526B27"/>
    <w:rPr>
      <w:color w:val="435060" w:themeColor="text2"/>
      <w:sz w:val="26"/>
      <w:szCs w:val="26"/>
    </w:rPr>
  </w:style>
  <w:style w:type="character" w:customStyle="1" w:styleId="Heading3Char">
    <w:name w:val="Heading 3 Char"/>
    <w:basedOn w:val="DefaultParagraphFont"/>
    <w:link w:val="Heading3"/>
    <w:uiPriority w:val="9"/>
    <w:rsid w:val="00526B27"/>
    <w:rPr>
      <w:rFonts w:asciiTheme="majorHAnsi" w:eastAsiaTheme="majorEastAsia" w:hAnsiTheme="majorHAnsi" w:cstheme="majorBidi"/>
      <w:color w:val="435060" w:themeColor="text2"/>
      <w:sz w:val="20"/>
      <w:szCs w:val="26"/>
    </w:rPr>
  </w:style>
  <w:style w:type="table" w:styleId="TableGrid">
    <w:name w:val="Table Grid"/>
    <w:basedOn w:val="TableNormal"/>
    <w:uiPriority w:val="39"/>
    <w:rsid w:val="00BC0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ing">
    <w:name w:val="Table Row Heading"/>
    <w:basedOn w:val="Normal"/>
    <w:qFormat/>
    <w:rsid w:val="00BC0A67"/>
    <w:rPr>
      <w:rFonts w:ascii="GTSectra-Bold" w:hAnsi="GTSectra-Bold"/>
    </w:rPr>
  </w:style>
  <w:style w:type="paragraph" w:customStyle="1" w:styleId="TableColumnHeading">
    <w:name w:val="Table Column Heading"/>
    <w:basedOn w:val="Normal"/>
    <w:qFormat/>
    <w:rsid w:val="000A46E6"/>
    <w:rPr>
      <w:rFonts w:asciiTheme="majorHAnsi"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Google%20Drive\vbaSE\CLIENTS\The%20Enthusiasts\Templates\Monthly%20View.dotm" TargetMode="External"/></Relationships>
</file>

<file path=word/theme/theme1.xml><?xml version="1.0" encoding="utf-8"?>
<a:theme xmlns:a="http://schemas.openxmlformats.org/drawingml/2006/main" name="The Enthusiasts">
  <a:themeElements>
    <a:clrScheme name="The Enthusiasts Reports">
      <a:dk1>
        <a:sysClr val="windowText" lastClr="000000"/>
      </a:dk1>
      <a:lt1>
        <a:sysClr val="window" lastClr="FFFFFF"/>
      </a:lt1>
      <a:dk2>
        <a:srgbClr val="435060"/>
      </a:dk2>
      <a:lt2>
        <a:srgbClr val="00AEEF"/>
      </a:lt2>
      <a:accent1>
        <a:srgbClr val="0E49E8"/>
      </a:accent1>
      <a:accent2>
        <a:srgbClr val="01FFA9"/>
      </a:accent2>
      <a:accent3>
        <a:srgbClr val="FD7F2A"/>
      </a:accent3>
      <a:accent4>
        <a:srgbClr val="FDE164"/>
      </a:accent4>
      <a:accent5>
        <a:srgbClr val="FD83B6"/>
      </a:accent5>
      <a:accent6>
        <a:srgbClr val="D81F26"/>
      </a:accent6>
      <a:hlink>
        <a:srgbClr val="435060"/>
      </a:hlink>
      <a:folHlink>
        <a:srgbClr val="0E49E8"/>
      </a:folHlink>
    </a:clrScheme>
    <a:fontScheme name="The Enthusiasts Reports">
      <a:majorFont>
        <a:latin typeface="GTSectra-Black"/>
        <a:ea typeface=""/>
        <a:cs typeface=""/>
      </a:majorFont>
      <a:minorFont>
        <a:latin typeface="GTSectra-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View</Template>
  <TotalTime>13</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dc:creator>
  <cp:keywords/>
  <dc:description/>
  <cp:lastModifiedBy>Peter West</cp:lastModifiedBy>
  <cp:revision>17</cp:revision>
  <cp:lastPrinted>2023-03-14T02:35:00Z</cp:lastPrinted>
  <dcterms:created xsi:type="dcterms:W3CDTF">2023-03-14T02:23:00Z</dcterms:created>
  <dcterms:modified xsi:type="dcterms:W3CDTF">2023-03-14T02:36:00Z</dcterms:modified>
</cp:coreProperties>
</file>